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43" w:rsidRPr="00D70869" w:rsidRDefault="00A50C43" w:rsidP="00A50C43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0869">
        <w:rPr>
          <w:rFonts w:ascii="Times New Roman" w:hAnsi="Times New Roman"/>
          <w:b/>
          <w:sz w:val="24"/>
          <w:szCs w:val="24"/>
        </w:rPr>
        <w:t>RESOLUT</w:t>
      </w:r>
      <w:r>
        <w:rPr>
          <w:rFonts w:ascii="Times New Roman" w:hAnsi="Times New Roman"/>
          <w:b/>
          <w:sz w:val="24"/>
          <w:szCs w:val="24"/>
        </w:rPr>
        <w:t>ION NO. ______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9A587D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 xml:space="preserve">A RESOLUTION TO </w:t>
      </w:r>
      <w:r w:rsidR="00F7457E">
        <w:rPr>
          <w:rFonts w:ascii="Times New Roman" w:hAnsi="Times New Roman"/>
          <w:b/>
          <w:sz w:val="24"/>
          <w:szCs w:val="24"/>
        </w:rPr>
        <w:t>EXEMPT</w:t>
      </w:r>
      <w:r w:rsidR="009A587D">
        <w:rPr>
          <w:rFonts w:ascii="Times New Roman" w:hAnsi="Times New Roman"/>
          <w:b/>
          <w:sz w:val="24"/>
          <w:szCs w:val="24"/>
        </w:rPr>
        <w:t xml:space="preserve"> THE</w:t>
      </w:r>
      <w:r w:rsidR="00F7457E">
        <w:rPr>
          <w:rFonts w:ascii="Times New Roman" w:hAnsi="Times New Roman"/>
          <w:b/>
          <w:sz w:val="24"/>
          <w:szCs w:val="24"/>
        </w:rPr>
        <w:t xml:space="preserve"> CITY</w:t>
      </w:r>
      <w:r w:rsidR="00421AB8">
        <w:rPr>
          <w:rFonts w:ascii="Times New Roman" w:hAnsi="Times New Roman"/>
          <w:b/>
          <w:sz w:val="24"/>
          <w:szCs w:val="24"/>
        </w:rPr>
        <w:t>/TOWN</w:t>
      </w:r>
      <w:r w:rsidR="00F7457E">
        <w:rPr>
          <w:rFonts w:ascii="Times New Roman" w:hAnsi="Times New Roman"/>
          <w:b/>
          <w:sz w:val="24"/>
          <w:szCs w:val="24"/>
        </w:rPr>
        <w:t xml:space="preserve"> OF ________________ FROM APPLICABILITY</w:t>
      </w:r>
      <w:r w:rsidR="009A587D">
        <w:rPr>
          <w:rFonts w:ascii="Times New Roman" w:hAnsi="Times New Roman"/>
          <w:b/>
          <w:sz w:val="24"/>
          <w:szCs w:val="24"/>
        </w:rPr>
        <w:t xml:space="preserve"> OF STATEWIDE BUILDING CONSTRUCTION SAFETY STANDARDS</w:t>
      </w:r>
      <w:r w:rsidR="0033162D">
        <w:rPr>
          <w:rFonts w:ascii="Times New Roman" w:hAnsi="Times New Roman"/>
          <w:b/>
          <w:sz w:val="24"/>
          <w:szCs w:val="24"/>
        </w:rPr>
        <w:t xml:space="preserve"> IN ONE-FAMILY AND TWO-FAMILY DWELLINGS WITHIN ITS JURISDICTION</w:t>
      </w:r>
      <w:r w:rsidRPr="00D70869">
        <w:rPr>
          <w:rFonts w:ascii="Times New Roman" w:hAnsi="Times New Roman"/>
          <w:b/>
          <w:sz w:val="24"/>
          <w:szCs w:val="24"/>
        </w:rPr>
        <w:t>.</w:t>
      </w:r>
    </w:p>
    <w:p w:rsidR="00A50C43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WHEREAS</w:t>
      </w:r>
      <w:r w:rsidRPr="00D70869">
        <w:rPr>
          <w:rFonts w:ascii="Times New Roman" w:hAnsi="Times New Roman"/>
          <w:sz w:val="24"/>
          <w:szCs w:val="24"/>
        </w:rPr>
        <w:t>,</w:t>
      </w:r>
      <w:r w:rsidRPr="00D70869">
        <w:rPr>
          <w:rFonts w:ascii="Times New Roman" w:hAnsi="Times New Roman"/>
          <w:sz w:val="24"/>
          <w:szCs w:val="24"/>
        </w:rPr>
        <w:tab/>
      </w:r>
      <w:r w:rsidR="009A587D">
        <w:rPr>
          <w:rFonts w:ascii="Times New Roman" w:hAnsi="Times New Roman"/>
          <w:sz w:val="24"/>
          <w:szCs w:val="24"/>
        </w:rPr>
        <w:t>Public Chapter No. 529 of the 2009 Public Acts</w:t>
      </w:r>
      <w:r w:rsidR="000F17F8">
        <w:rPr>
          <w:rFonts w:ascii="Times New Roman" w:hAnsi="Times New Roman"/>
          <w:sz w:val="24"/>
          <w:szCs w:val="24"/>
        </w:rPr>
        <w:t>, also known as the “Tennessee Clean Energy Future Act of 2009”</w:t>
      </w:r>
      <w:r w:rsidR="006A7558">
        <w:rPr>
          <w:rFonts w:ascii="Times New Roman" w:hAnsi="Times New Roman"/>
          <w:sz w:val="24"/>
          <w:szCs w:val="24"/>
        </w:rPr>
        <w:t>,</w:t>
      </w:r>
      <w:r w:rsidR="000F17F8">
        <w:rPr>
          <w:rFonts w:ascii="Times New Roman" w:hAnsi="Times New Roman"/>
          <w:sz w:val="24"/>
          <w:szCs w:val="24"/>
        </w:rPr>
        <w:t xml:space="preserve"> </w:t>
      </w:r>
      <w:r w:rsidR="002E0605">
        <w:rPr>
          <w:rFonts w:ascii="Times New Roman" w:hAnsi="Times New Roman"/>
          <w:sz w:val="24"/>
          <w:szCs w:val="24"/>
        </w:rPr>
        <w:t>requires the State Fire Marshal</w:t>
      </w:r>
      <w:r w:rsidR="000F17F8">
        <w:rPr>
          <w:rFonts w:ascii="Times New Roman" w:hAnsi="Times New Roman"/>
          <w:sz w:val="24"/>
          <w:szCs w:val="24"/>
        </w:rPr>
        <w:t xml:space="preserve"> to adopt and enforce statewide building construction and safety standards in jurisdictions who do not adopt and adequately enforce codes meeting the state’s minimum standards</w:t>
      </w:r>
      <w:r w:rsidRPr="00D70869">
        <w:rPr>
          <w:rFonts w:ascii="Times New Roman" w:hAnsi="Times New Roman"/>
          <w:sz w:val="24"/>
          <w:szCs w:val="24"/>
        </w:rPr>
        <w:t>; and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Default="00A50C43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 w:rsidRPr="00034B09">
        <w:rPr>
          <w:rFonts w:ascii="Times New Roman" w:hAnsi="Times New Roman"/>
          <w:i/>
          <w:sz w:val="24"/>
          <w:szCs w:val="24"/>
        </w:rPr>
        <w:t>Tennessee Code Annotated</w:t>
      </w:r>
      <w:r w:rsidR="000F17F8">
        <w:rPr>
          <w:rFonts w:ascii="Times New Roman" w:hAnsi="Times New Roman"/>
          <w:sz w:val="24"/>
          <w:szCs w:val="24"/>
        </w:rPr>
        <w:t xml:space="preserve"> § 68-120-101(b)(1)(B) authorizes a municipality to, by a </w:t>
      </w:r>
      <w:r w:rsidR="00421AB8">
        <w:rPr>
          <w:rFonts w:ascii="Times New Roman" w:hAnsi="Times New Roman"/>
          <w:sz w:val="24"/>
          <w:szCs w:val="24"/>
        </w:rPr>
        <w:t>two-thirds (2/3) vote, adopt a R</w:t>
      </w:r>
      <w:r w:rsidR="000F17F8">
        <w:rPr>
          <w:rFonts w:ascii="Times New Roman" w:hAnsi="Times New Roman"/>
          <w:sz w:val="24"/>
          <w:szCs w:val="24"/>
        </w:rPr>
        <w:t>esolution to exempt</w:t>
      </w:r>
      <w:r w:rsidR="00F7457E">
        <w:rPr>
          <w:rFonts w:ascii="Times New Roman" w:hAnsi="Times New Roman"/>
          <w:sz w:val="24"/>
          <w:szCs w:val="24"/>
        </w:rPr>
        <w:t xml:space="preserve"> the municipality from application of statewide standards for one-family and two-family dwellings within its jurisdictional boundaries</w:t>
      </w:r>
      <w:r w:rsidRPr="00D70869">
        <w:rPr>
          <w:rFonts w:ascii="Times New Roman" w:hAnsi="Times New Roman"/>
          <w:sz w:val="24"/>
          <w:szCs w:val="24"/>
        </w:rPr>
        <w:t>; and</w:t>
      </w:r>
    </w:p>
    <w:p w:rsidR="00421AB8" w:rsidRDefault="00421AB8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</w:p>
    <w:p w:rsidR="00421AB8" w:rsidRPr="00421AB8" w:rsidRDefault="00421AB8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An opt-out Resolution adopted pursuant to </w:t>
      </w:r>
      <w:r w:rsidRPr="00034B09">
        <w:rPr>
          <w:rFonts w:ascii="Times New Roman" w:hAnsi="Times New Roman"/>
          <w:i/>
          <w:sz w:val="24"/>
          <w:szCs w:val="24"/>
        </w:rPr>
        <w:t>Tennessee Code Annotated</w:t>
      </w:r>
      <w:r>
        <w:rPr>
          <w:rFonts w:ascii="Times New Roman" w:hAnsi="Times New Roman"/>
          <w:sz w:val="24"/>
          <w:szCs w:val="24"/>
        </w:rPr>
        <w:t xml:space="preserve"> § 68-120-101(b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1)(B) expires one hundred eighty (180) days following the date of the next election of the governing body after its</w:t>
      </w:r>
      <w:r w:rsidR="00AB1B4A">
        <w:rPr>
          <w:rFonts w:ascii="Times New Roman" w:hAnsi="Times New Roman"/>
          <w:sz w:val="24"/>
          <w:szCs w:val="24"/>
        </w:rPr>
        <w:t xml:space="preserve"> passage; and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 w:rsidR="002E0605">
        <w:rPr>
          <w:rFonts w:ascii="Times New Roman" w:hAnsi="Times New Roman"/>
          <w:sz w:val="24"/>
          <w:szCs w:val="24"/>
        </w:rPr>
        <w:t>The State Fire Marshal</w:t>
      </w:r>
      <w:r w:rsidR="00F7457E">
        <w:rPr>
          <w:rFonts w:ascii="Times New Roman" w:hAnsi="Times New Roman"/>
          <w:sz w:val="24"/>
          <w:szCs w:val="24"/>
        </w:rPr>
        <w:t xml:space="preserve"> has, via </w:t>
      </w:r>
      <w:r w:rsidR="006117DB">
        <w:rPr>
          <w:rFonts w:ascii="Times New Roman" w:hAnsi="Times New Roman"/>
          <w:sz w:val="24"/>
          <w:szCs w:val="24"/>
        </w:rPr>
        <w:t>Rules of the Departments of Commerce and Insurance, Division of Fire Protection, Chapter 0780-02-23</w:t>
      </w:r>
      <w:r w:rsidR="00F7457E">
        <w:rPr>
          <w:rFonts w:ascii="Times New Roman" w:hAnsi="Times New Roman"/>
          <w:sz w:val="24"/>
          <w:szCs w:val="24"/>
        </w:rPr>
        <w:t xml:space="preserve">, adopted the </w:t>
      </w:r>
      <w:r w:rsidR="0059409A">
        <w:rPr>
          <w:rFonts w:ascii="Times New Roman" w:hAnsi="Times New Roman"/>
          <w:sz w:val="24"/>
          <w:szCs w:val="24"/>
        </w:rPr>
        <w:t xml:space="preserve">2009 </w:t>
      </w:r>
      <w:r w:rsidR="00F7457E">
        <w:rPr>
          <w:rFonts w:ascii="Times New Roman" w:hAnsi="Times New Roman"/>
          <w:sz w:val="24"/>
          <w:szCs w:val="24"/>
        </w:rPr>
        <w:t>edition of the International Residential Code with various amendments</w:t>
      </w:r>
      <w:r w:rsidRPr="00D70869">
        <w:rPr>
          <w:rFonts w:ascii="Times New Roman" w:hAnsi="Times New Roman"/>
          <w:sz w:val="24"/>
          <w:szCs w:val="24"/>
        </w:rPr>
        <w:t>; and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the</w:t>
      </w:r>
      <w:r w:rsidRPr="00D70869">
        <w:rPr>
          <w:rFonts w:ascii="Times New Roman" w:hAnsi="Times New Roman"/>
          <w:sz w:val="24"/>
          <w:szCs w:val="24"/>
        </w:rPr>
        <w:t xml:space="preserve"> </w:t>
      </w:r>
      <w:r w:rsidRPr="00BB0E08">
        <w:rPr>
          <w:rFonts w:ascii="Times New Roman" w:hAnsi="Times New Roman"/>
          <w:i/>
          <w:sz w:val="24"/>
          <w:szCs w:val="24"/>
        </w:rPr>
        <w:t>(governing body)</w:t>
      </w:r>
      <w:r w:rsidRPr="00D70869">
        <w:rPr>
          <w:rFonts w:ascii="Times New Roman" w:hAnsi="Times New Roman"/>
          <w:sz w:val="24"/>
          <w:szCs w:val="24"/>
        </w:rPr>
        <w:t xml:space="preserve"> of the </w:t>
      </w:r>
      <w:r w:rsidR="00421AB8">
        <w:rPr>
          <w:rFonts w:ascii="Times New Roman" w:hAnsi="Times New Roman"/>
          <w:sz w:val="24"/>
          <w:szCs w:val="24"/>
        </w:rPr>
        <w:t>City/T</w:t>
      </w:r>
      <w:r w:rsidRPr="00E323F6">
        <w:rPr>
          <w:rFonts w:ascii="Times New Roman" w:hAnsi="Times New Roman"/>
          <w:sz w:val="24"/>
          <w:szCs w:val="24"/>
        </w:rPr>
        <w:t>own 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Pr="00D70869">
        <w:rPr>
          <w:rFonts w:ascii="Times New Roman" w:hAnsi="Times New Roman"/>
          <w:sz w:val="24"/>
          <w:szCs w:val="24"/>
        </w:rPr>
        <w:t xml:space="preserve"> desires to </w:t>
      </w:r>
      <w:r w:rsidR="00421AB8">
        <w:rPr>
          <w:rFonts w:ascii="Times New Roman" w:hAnsi="Times New Roman"/>
          <w:sz w:val="24"/>
          <w:szCs w:val="24"/>
        </w:rPr>
        <w:t>exempt the applicability of statewide building construction safety standards within its jurisdictional boundaries</w:t>
      </w:r>
      <w:r>
        <w:rPr>
          <w:rFonts w:ascii="Times New Roman" w:hAnsi="Times New Roman"/>
          <w:sz w:val="24"/>
          <w:szCs w:val="24"/>
        </w:rPr>
        <w:t>; now, therefore:</w:t>
      </w:r>
    </w:p>
    <w:p w:rsidR="00A50C43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 xml:space="preserve"> BE IT RESOLVED BY THE </w:t>
      </w:r>
      <w:r w:rsidRPr="00BB0E08">
        <w:rPr>
          <w:rFonts w:ascii="Times New Roman" w:hAnsi="Times New Roman"/>
          <w:b/>
          <w:i/>
          <w:sz w:val="24"/>
          <w:szCs w:val="24"/>
        </w:rPr>
        <w:t>(GOVERNING BODY)</w:t>
      </w:r>
      <w:r w:rsidRPr="00D70869">
        <w:rPr>
          <w:rFonts w:ascii="Times New Roman" w:hAnsi="Times New Roman"/>
          <w:b/>
          <w:sz w:val="24"/>
          <w:szCs w:val="24"/>
        </w:rPr>
        <w:t xml:space="preserve"> OF THE </w:t>
      </w:r>
      <w:r w:rsidRPr="00E323F6">
        <w:rPr>
          <w:rFonts w:ascii="Times New Roman" w:hAnsi="Times New Roman"/>
          <w:b/>
          <w:sz w:val="24"/>
          <w:szCs w:val="24"/>
        </w:rPr>
        <w:t>CITY/TOWN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23F6">
        <w:rPr>
          <w:rFonts w:ascii="Times New Roman" w:hAnsi="Times New Roman"/>
          <w:b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D70869">
        <w:rPr>
          <w:rFonts w:ascii="Times New Roman" w:hAnsi="Times New Roman"/>
          <w:b/>
          <w:sz w:val="24"/>
          <w:szCs w:val="24"/>
        </w:rPr>
        <w:t>THAT: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Default="00A50C43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SECTION 1</w:t>
      </w:r>
      <w:r w:rsidRPr="00D70869">
        <w:rPr>
          <w:rFonts w:ascii="Times New Roman" w:hAnsi="Times New Roman"/>
          <w:sz w:val="24"/>
          <w:szCs w:val="24"/>
        </w:rPr>
        <w:t>.</w:t>
      </w:r>
      <w:r w:rsidRPr="00D70869">
        <w:rPr>
          <w:rFonts w:ascii="Times New Roman" w:hAnsi="Times New Roman"/>
          <w:sz w:val="24"/>
          <w:szCs w:val="24"/>
        </w:rPr>
        <w:tab/>
      </w:r>
      <w:r w:rsidR="00AB1B4A">
        <w:rPr>
          <w:rFonts w:ascii="Times New Roman" w:hAnsi="Times New Roman"/>
          <w:sz w:val="24"/>
          <w:szCs w:val="24"/>
        </w:rPr>
        <w:t xml:space="preserve">Pursuant to </w:t>
      </w:r>
      <w:r w:rsidR="00AB1B4A" w:rsidRPr="00034B09">
        <w:rPr>
          <w:rFonts w:ascii="Times New Roman" w:hAnsi="Times New Roman"/>
          <w:i/>
          <w:sz w:val="24"/>
          <w:szCs w:val="24"/>
        </w:rPr>
        <w:t>Tennessee Code Annotated</w:t>
      </w:r>
      <w:r w:rsidR="00AB1B4A">
        <w:rPr>
          <w:rFonts w:ascii="Times New Roman" w:hAnsi="Times New Roman"/>
          <w:sz w:val="24"/>
          <w:szCs w:val="24"/>
        </w:rPr>
        <w:t xml:space="preserve"> § 68-120-101(b)(1)(B) the City/Town of ____________ elects to exempt the applicability of </w:t>
      </w:r>
      <w:r w:rsidR="00102911">
        <w:rPr>
          <w:rFonts w:ascii="Times New Roman" w:hAnsi="Times New Roman"/>
          <w:sz w:val="24"/>
          <w:szCs w:val="24"/>
        </w:rPr>
        <w:t>the statewide building construction safety standards in one-family and two-family dwellings within its jurisdictional boundaries.</w:t>
      </w:r>
    </w:p>
    <w:p w:rsidR="00A50C43" w:rsidRPr="00165152" w:rsidRDefault="00A50C43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</w:p>
    <w:p w:rsidR="00A50C43" w:rsidRPr="00663C92" w:rsidRDefault="00A50C43" w:rsidP="00102911">
      <w:pPr>
        <w:pStyle w:val="NoSpacing"/>
        <w:ind w:left="1440" w:hanging="1440"/>
        <w:rPr>
          <w:rFonts w:ascii="Times New Roman" w:hAnsi="Times New Roman"/>
          <w:b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SECTION 2</w:t>
      </w:r>
      <w:r w:rsidRPr="00D70869">
        <w:rPr>
          <w:rFonts w:ascii="Times New Roman" w:hAnsi="Times New Roman"/>
          <w:sz w:val="24"/>
          <w:szCs w:val="24"/>
        </w:rPr>
        <w:t>.</w:t>
      </w:r>
      <w:r w:rsidR="00102911">
        <w:rPr>
          <w:rFonts w:ascii="Times New Roman" w:hAnsi="Times New Roman"/>
          <w:sz w:val="24"/>
          <w:szCs w:val="24"/>
        </w:rPr>
        <w:tab/>
        <w:t xml:space="preserve">The exemption enacted by Section 1 of this resolution shall expire one hundred eighty (180) days </w:t>
      </w:r>
      <w:r w:rsidR="00663C92">
        <w:rPr>
          <w:rFonts w:ascii="Times New Roman" w:hAnsi="Times New Roman"/>
          <w:sz w:val="24"/>
          <w:szCs w:val="24"/>
        </w:rPr>
        <w:t>following the date of the election for the local legislative body next occurring following the adoption of this resolution</w:t>
      </w:r>
      <w:r w:rsidR="0033162D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663C92">
        <w:rPr>
          <w:rFonts w:ascii="Times New Roman" w:hAnsi="Times New Roman"/>
          <w:sz w:val="24"/>
          <w:szCs w:val="24"/>
        </w:rPr>
        <w:t xml:space="preserve">. </w:t>
      </w:r>
      <w:r w:rsidR="00663C92">
        <w:rPr>
          <w:rFonts w:ascii="Times New Roman" w:hAnsi="Times New Roman"/>
          <w:b/>
          <w:sz w:val="24"/>
          <w:szCs w:val="24"/>
        </w:rPr>
        <w:t>[A municipality may elect an earlier expiration date.]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ind w:left="1440" w:hanging="1440"/>
        <w:rPr>
          <w:rFonts w:ascii="Times New Roman" w:hAnsi="Times New Roman"/>
          <w:b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SECTION 3.</w:t>
      </w:r>
      <w:r w:rsidRPr="00D70869">
        <w:rPr>
          <w:rFonts w:ascii="Times New Roman" w:hAnsi="Times New Roman"/>
          <w:b/>
          <w:sz w:val="24"/>
          <w:szCs w:val="24"/>
        </w:rPr>
        <w:tab/>
      </w:r>
      <w:r w:rsidR="00663C92">
        <w:rPr>
          <w:rFonts w:ascii="Times New Roman" w:hAnsi="Times New Roman"/>
          <w:sz w:val="24"/>
          <w:szCs w:val="24"/>
        </w:rPr>
        <w:t>The City Recorder shall transmit a copy of this Resol</w:t>
      </w:r>
      <w:r w:rsidR="002E0605">
        <w:rPr>
          <w:rFonts w:ascii="Times New Roman" w:hAnsi="Times New Roman"/>
          <w:sz w:val="24"/>
          <w:szCs w:val="24"/>
        </w:rPr>
        <w:t>ution to the State Fire Marshal</w:t>
      </w:r>
      <w:r w:rsidR="00663C92">
        <w:rPr>
          <w:rFonts w:ascii="Times New Roman" w:hAnsi="Times New Roman"/>
          <w:sz w:val="24"/>
          <w:szCs w:val="24"/>
        </w:rPr>
        <w:t xml:space="preserve"> upon its passage.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50C43" w:rsidRPr="00D70869" w:rsidRDefault="00A50C43" w:rsidP="00A50C43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D70869">
        <w:rPr>
          <w:rFonts w:ascii="Times New Roman" w:hAnsi="Times New Roman"/>
          <w:b/>
          <w:sz w:val="24"/>
          <w:szCs w:val="24"/>
        </w:rPr>
        <w:t>SECTION 4</w:t>
      </w:r>
      <w:r w:rsidRPr="00D70869">
        <w:rPr>
          <w:rFonts w:ascii="Times New Roman" w:hAnsi="Times New Roman"/>
          <w:sz w:val="24"/>
          <w:szCs w:val="24"/>
        </w:rPr>
        <w:t>.</w:t>
      </w:r>
      <w:r w:rsidRPr="00D70869">
        <w:rPr>
          <w:rFonts w:ascii="Times New Roman" w:hAnsi="Times New Roman"/>
          <w:sz w:val="24"/>
          <w:szCs w:val="24"/>
        </w:rPr>
        <w:tab/>
        <w:t xml:space="preserve">This resolution takes effect from and after its passage, the welfare of the </w:t>
      </w:r>
      <w:r w:rsidR="00663C92">
        <w:rPr>
          <w:rFonts w:ascii="Times New Roman" w:hAnsi="Times New Roman"/>
          <w:sz w:val="24"/>
          <w:szCs w:val="24"/>
        </w:rPr>
        <w:t>City/T</w:t>
      </w:r>
      <w:r w:rsidRPr="00E323F6">
        <w:rPr>
          <w:rFonts w:ascii="Times New Roman" w:hAnsi="Times New Roman"/>
          <w:sz w:val="24"/>
          <w:szCs w:val="24"/>
        </w:rPr>
        <w:t>own</w:t>
      </w:r>
      <w:r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70869">
        <w:rPr>
          <w:rFonts w:ascii="Times New Roman" w:hAnsi="Times New Roman"/>
          <w:sz w:val="24"/>
          <w:szCs w:val="24"/>
        </w:rPr>
        <w:t xml:space="preserve"> requiring it</w:t>
      </w:r>
      <w:r>
        <w:rPr>
          <w:rFonts w:ascii="Times New Roman" w:hAnsi="Times New Roman"/>
          <w:sz w:val="24"/>
          <w:szCs w:val="24"/>
        </w:rPr>
        <w:t>.</w:t>
      </w: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Adopted</w:t>
      </w:r>
      <w:r w:rsidRPr="00D7086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869">
        <w:rPr>
          <w:rFonts w:ascii="Times New Roman" w:hAnsi="Times New Roman"/>
          <w:sz w:val="24"/>
          <w:szCs w:val="24"/>
        </w:rPr>
        <w:t>_____________________</w:t>
      </w:r>
    </w:p>
    <w:p w:rsidR="00A50C43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NoSpacing"/>
        <w:rPr>
          <w:rFonts w:ascii="Times New Roman" w:hAnsi="Times New Roman"/>
          <w:sz w:val="24"/>
          <w:szCs w:val="24"/>
        </w:rPr>
      </w:pPr>
    </w:p>
    <w:p w:rsidR="00A50C43" w:rsidRPr="00D70869" w:rsidRDefault="00A50C43" w:rsidP="00A50C43">
      <w:pPr>
        <w:pStyle w:val="Pa1"/>
        <w:rPr>
          <w:rFonts w:ascii="Times New Roman" w:hAnsi="Times New Roman"/>
          <w:color w:val="000000"/>
        </w:rPr>
      </w:pPr>
      <w:r w:rsidRPr="00D70869">
        <w:rPr>
          <w:rFonts w:ascii="Times New Roman" w:hAnsi="Times New Roman"/>
          <w:color w:val="000000"/>
        </w:rPr>
        <w:t>_____________________________________</w:t>
      </w:r>
      <w:r w:rsidRPr="00D70869">
        <w:rPr>
          <w:rFonts w:ascii="Times New Roman" w:hAnsi="Times New Roman"/>
          <w:color w:val="000000"/>
        </w:rPr>
        <w:tab/>
        <w:t>_________________________________</w:t>
      </w:r>
    </w:p>
    <w:p w:rsidR="00A50C43" w:rsidRPr="00D70869" w:rsidRDefault="00A50C43" w:rsidP="00A50C43">
      <w:pPr>
        <w:pStyle w:val="Default"/>
        <w:ind w:left="720" w:firstLine="720"/>
        <w:rPr>
          <w:rFonts w:ascii="Times New Roman" w:hAnsi="Times New Roman" w:cs="Times New Roman"/>
        </w:rPr>
      </w:pPr>
      <w:r w:rsidRPr="00D70869">
        <w:rPr>
          <w:rFonts w:ascii="Times New Roman" w:hAnsi="Times New Roman" w:cs="Times New Roman"/>
        </w:rPr>
        <w:t>Mayor</w:t>
      </w:r>
      <w:r w:rsidRPr="00D70869">
        <w:rPr>
          <w:rFonts w:ascii="Times New Roman" w:hAnsi="Times New Roman" w:cs="Times New Roman"/>
        </w:rPr>
        <w:tab/>
      </w:r>
      <w:r w:rsidRPr="00D70869">
        <w:rPr>
          <w:rFonts w:ascii="Times New Roman" w:hAnsi="Times New Roman" w:cs="Times New Roman"/>
        </w:rPr>
        <w:tab/>
      </w:r>
      <w:r w:rsidRPr="00D70869">
        <w:rPr>
          <w:rFonts w:ascii="Times New Roman" w:hAnsi="Times New Roman" w:cs="Times New Roman"/>
        </w:rPr>
        <w:tab/>
      </w:r>
      <w:r w:rsidRPr="00D70869">
        <w:rPr>
          <w:rFonts w:ascii="Times New Roman" w:hAnsi="Times New Roman" w:cs="Times New Roman"/>
        </w:rPr>
        <w:tab/>
      </w:r>
      <w:r w:rsidRPr="00D70869">
        <w:rPr>
          <w:rFonts w:ascii="Times New Roman" w:hAnsi="Times New Roman" w:cs="Times New Roman"/>
        </w:rPr>
        <w:tab/>
      </w:r>
      <w:r w:rsidRPr="00D70869">
        <w:rPr>
          <w:rFonts w:ascii="Times New Roman" w:hAnsi="Times New Roman" w:cs="Times New Roman"/>
        </w:rPr>
        <w:tab/>
      </w:r>
      <w:r w:rsidRPr="00D70869">
        <w:rPr>
          <w:rFonts w:ascii="Times New Roman" w:hAnsi="Times New Roman" w:cs="Times New Roman"/>
        </w:rPr>
        <w:tab/>
        <w:t>City Recorder</w:t>
      </w:r>
    </w:p>
    <w:p w:rsidR="00A50C43" w:rsidRPr="00704158" w:rsidRDefault="00A50C43">
      <w:pPr>
        <w:rPr>
          <w:rFonts w:ascii="Times New Roman" w:hAnsi="Times New Roman"/>
          <w:sz w:val="24"/>
          <w:szCs w:val="24"/>
        </w:rPr>
      </w:pPr>
    </w:p>
    <w:p w:rsidR="00A50C43" w:rsidRPr="00704158" w:rsidRDefault="00A50C43">
      <w:pPr>
        <w:rPr>
          <w:rFonts w:ascii="Times New Roman" w:hAnsi="Times New Roman"/>
          <w:sz w:val="24"/>
          <w:szCs w:val="24"/>
        </w:rPr>
      </w:pPr>
    </w:p>
    <w:sectPr w:rsidR="00A50C43" w:rsidRPr="00704158" w:rsidSect="00A5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40" w:rsidRDefault="00893E40" w:rsidP="00A50C43">
      <w:pPr>
        <w:spacing w:after="0" w:line="240" w:lineRule="auto"/>
      </w:pPr>
      <w:r>
        <w:separator/>
      </w:r>
    </w:p>
  </w:endnote>
  <w:endnote w:type="continuationSeparator" w:id="0">
    <w:p w:rsidR="00893E40" w:rsidRDefault="00893E40" w:rsidP="00A5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40" w:rsidRDefault="00893E40" w:rsidP="00A50C43">
      <w:pPr>
        <w:spacing w:after="0" w:line="240" w:lineRule="auto"/>
      </w:pPr>
      <w:r>
        <w:separator/>
      </w:r>
    </w:p>
  </w:footnote>
  <w:footnote w:type="continuationSeparator" w:id="0">
    <w:p w:rsidR="00893E40" w:rsidRDefault="00893E40" w:rsidP="00A50C43">
      <w:pPr>
        <w:spacing w:after="0" w:line="240" w:lineRule="auto"/>
      </w:pPr>
      <w:r>
        <w:continuationSeparator/>
      </w:r>
    </w:p>
  </w:footnote>
  <w:footnote w:id="1">
    <w:p w:rsidR="0033162D" w:rsidRDefault="0033162D">
      <w:pPr>
        <w:pStyle w:val="FootnoteText"/>
      </w:pPr>
      <w:r>
        <w:rPr>
          <w:rStyle w:val="FootnoteReference"/>
        </w:rPr>
        <w:footnoteRef/>
      </w:r>
      <w:r>
        <w:t xml:space="preserve"> State law reference</w:t>
      </w:r>
    </w:p>
    <w:p w:rsidR="0033162D" w:rsidRDefault="0033162D">
      <w:pPr>
        <w:pStyle w:val="FootnoteText"/>
      </w:pPr>
      <w:r>
        <w:t xml:space="preserve">A resolution passed pursuant to </w:t>
      </w:r>
      <w:r>
        <w:rPr>
          <w:i/>
        </w:rPr>
        <w:t xml:space="preserve">Tennessee </w:t>
      </w:r>
      <w:r w:rsidRPr="0033162D">
        <w:rPr>
          <w:i/>
        </w:rPr>
        <w:t>Code Annotated</w:t>
      </w:r>
      <w:r w:rsidRPr="0033162D">
        <w:t xml:space="preserve"> § 68-120-101(b)(1)(B)</w:t>
      </w:r>
      <w:r>
        <w:t xml:space="preserve"> expires one hundred eighty (180) days following the date of the election for the local legislative body next occurring following the adoption of the resolution. If a municipality neglects to renew or opts not to renew the resolution</w:t>
      </w:r>
      <w:r w:rsidR="00D53C87">
        <w:t>,</w:t>
      </w:r>
      <w:r>
        <w:t xml:space="preserve"> </w:t>
      </w:r>
      <w:r w:rsidR="006117DB">
        <w:t>one-family and two-family dwellings become subject to the statewide building code safety standards and their enforc</w:t>
      </w:r>
      <w:r w:rsidR="002E0605">
        <w:t>ement by the State Fire Marshal</w:t>
      </w:r>
      <w:r w:rsidR="006117DB"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1D"/>
    <w:rsid w:val="000F17F8"/>
    <w:rsid w:val="00102911"/>
    <w:rsid w:val="00255134"/>
    <w:rsid w:val="002E0605"/>
    <w:rsid w:val="0033162D"/>
    <w:rsid w:val="003A2D5C"/>
    <w:rsid w:val="00421AB8"/>
    <w:rsid w:val="00424F1D"/>
    <w:rsid w:val="0059409A"/>
    <w:rsid w:val="005C36FE"/>
    <w:rsid w:val="006117DB"/>
    <w:rsid w:val="006160CF"/>
    <w:rsid w:val="00663C92"/>
    <w:rsid w:val="006A7558"/>
    <w:rsid w:val="00893E40"/>
    <w:rsid w:val="008A781E"/>
    <w:rsid w:val="009A587D"/>
    <w:rsid w:val="00A50C43"/>
    <w:rsid w:val="00AB1B4A"/>
    <w:rsid w:val="00D53C87"/>
    <w:rsid w:val="00EF3D53"/>
    <w:rsid w:val="00F70F9F"/>
    <w:rsid w:val="00F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87B9-A4CD-4E00-BBF4-7122028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body">
    <w:name w:val="documentbody"/>
    <w:uiPriority w:val="99"/>
    <w:rsid w:val="002A7434"/>
    <w:rPr>
      <w:rFonts w:cs="Times New Roman"/>
    </w:rPr>
  </w:style>
  <w:style w:type="character" w:styleId="Hyperlink">
    <w:name w:val="Hyperlink"/>
    <w:uiPriority w:val="99"/>
    <w:rsid w:val="00FE7F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4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E9E"/>
    <w:rPr>
      <w:rFonts w:ascii="Times New Roman" w:hAnsi="Times New Roman"/>
      <w:sz w:val="0"/>
      <w:szCs w:val="0"/>
    </w:rPr>
  </w:style>
  <w:style w:type="paragraph" w:styleId="NoSpacing">
    <w:name w:val="No Spacing"/>
    <w:uiPriority w:val="99"/>
    <w:qFormat/>
    <w:rsid w:val="004644F1"/>
    <w:rPr>
      <w:sz w:val="22"/>
      <w:szCs w:val="22"/>
    </w:rPr>
  </w:style>
  <w:style w:type="paragraph" w:customStyle="1" w:styleId="Default">
    <w:name w:val="Default"/>
    <w:uiPriority w:val="99"/>
    <w:rsid w:val="004644F1"/>
    <w:pPr>
      <w:autoSpaceDE w:val="0"/>
      <w:autoSpaceDN w:val="0"/>
      <w:adjustRightInd w:val="0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644F1"/>
    <w:pPr>
      <w:spacing w:line="241" w:lineRule="atLeast"/>
    </w:pPr>
    <w:rPr>
      <w:rFonts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rsid w:val="004644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4F1"/>
  </w:style>
  <w:style w:type="character" w:styleId="FootnoteReference">
    <w:name w:val="footnote reference"/>
    <w:uiPriority w:val="99"/>
    <w:semiHidden/>
    <w:rsid w:val="004644F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05AE-94F5-43AD-8B19-3581A634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A66E448D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Opt-Out Prohibiting Handguns in Municipal Parks</vt:lpstr>
    </vt:vector>
  </TitlesOfParts>
  <Company>University of Tennessee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Resolution to Opt Out of the Statewide Building Codes</dc:title>
  <dc:subject/>
  <dc:creator>Josh Jones;Jeff.Broughton@tennessee.edu</dc:creator>
  <cp:keywords/>
  <cp:lastModifiedBy>Becky Smeltzer</cp:lastModifiedBy>
  <cp:revision>3</cp:revision>
  <cp:lastPrinted>2010-09-07T20:19:00Z</cp:lastPrinted>
  <dcterms:created xsi:type="dcterms:W3CDTF">2016-12-19T17:33:00Z</dcterms:created>
  <dcterms:modified xsi:type="dcterms:W3CDTF">2017-02-03T18:26:00Z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