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86E60" w14:textId="78639A3C" w:rsidR="009B5A39" w:rsidRPr="00444ABE" w:rsidRDefault="009B5A39" w:rsidP="009B5A39">
      <w:pPr>
        <w:rPr>
          <w:b/>
          <w:bCs/>
        </w:rPr>
      </w:pPr>
      <w:r w:rsidRPr="00444ABE">
        <w:rPr>
          <w:b/>
          <w:bCs/>
        </w:rPr>
        <w:t xml:space="preserve">SAMPLE ORDINANCE FOR PREMISE IDENTIFICATION.  MODIFY AS NEEDED TO MEET LOCAL NEEDS.  Drafted: April </w:t>
      </w:r>
      <w:r w:rsidR="005368CC" w:rsidRPr="00444ABE">
        <w:rPr>
          <w:b/>
          <w:bCs/>
        </w:rPr>
        <w:t>30</w:t>
      </w:r>
      <w:r w:rsidRPr="00444ABE">
        <w:rPr>
          <w:b/>
          <w:bCs/>
        </w:rPr>
        <w:t>, 2021</w:t>
      </w:r>
    </w:p>
    <w:p w14:paraId="789F1471" w14:textId="77777777" w:rsidR="009B5A39" w:rsidRDefault="009B5A39" w:rsidP="009B5A39"/>
    <w:p w14:paraId="00ACBA0F" w14:textId="77777777" w:rsidR="009B5A39" w:rsidRDefault="009B5A39" w:rsidP="009B5A39">
      <w:pPr>
        <w:rPr>
          <w:b/>
          <w:bCs/>
        </w:rPr>
      </w:pPr>
    </w:p>
    <w:p w14:paraId="7C09D7CB" w14:textId="77777777" w:rsidR="009B5A39" w:rsidRDefault="009B5A39" w:rsidP="002760A4">
      <w:pPr>
        <w:jc w:val="center"/>
        <w:rPr>
          <w:b/>
          <w:bCs/>
        </w:rPr>
      </w:pPr>
    </w:p>
    <w:p w14:paraId="2D443415" w14:textId="7D6A8F56" w:rsidR="007C4104" w:rsidRDefault="002760A4" w:rsidP="002760A4">
      <w:pPr>
        <w:jc w:val="center"/>
        <w:rPr>
          <w:b/>
          <w:bCs/>
        </w:rPr>
      </w:pPr>
      <w:r>
        <w:rPr>
          <w:b/>
          <w:bCs/>
        </w:rPr>
        <w:t>Ord</w:t>
      </w:r>
      <w:r w:rsidR="00ED20D0">
        <w:rPr>
          <w:b/>
          <w:bCs/>
        </w:rPr>
        <w:t>inance No.</w:t>
      </w:r>
      <w:r w:rsidR="00655264">
        <w:rPr>
          <w:b/>
          <w:bCs/>
        </w:rPr>
        <w:t xml:space="preserve"> _______</w:t>
      </w:r>
    </w:p>
    <w:p w14:paraId="2DA5FABC" w14:textId="5390C0C2" w:rsidR="00ED20D0" w:rsidRDefault="00ED20D0" w:rsidP="002760A4">
      <w:pPr>
        <w:jc w:val="center"/>
        <w:rPr>
          <w:b/>
          <w:bCs/>
        </w:rPr>
      </w:pPr>
    </w:p>
    <w:p w14:paraId="733FB0BC" w14:textId="5CDEF9F0" w:rsidR="00ED20D0" w:rsidRDefault="00ED20D0" w:rsidP="002760A4">
      <w:pPr>
        <w:jc w:val="center"/>
        <w:rPr>
          <w:b/>
          <w:bCs/>
        </w:rPr>
      </w:pPr>
      <w:r>
        <w:rPr>
          <w:b/>
          <w:bCs/>
        </w:rPr>
        <w:t xml:space="preserve">ORDINANCE TO REQUIRE </w:t>
      </w:r>
      <w:r w:rsidR="008B79CF">
        <w:rPr>
          <w:b/>
          <w:bCs/>
        </w:rPr>
        <w:t xml:space="preserve">PREMISES IDENTIFICATION </w:t>
      </w:r>
      <w:r w:rsidR="009F7AF4">
        <w:rPr>
          <w:b/>
          <w:bCs/>
        </w:rPr>
        <w:t>THROUGH</w:t>
      </w:r>
      <w:r w:rsidR="008B79CF">
        <w:rPr>
          <w:b/>
          <w:bCs/>
        </w:rPr>
        <w:t xml:space="preserve"> NUMBERING OF </w:t>
      </w:r>
      <w:r w:rsidR="00245BD7">
        <w:rPr>
          <w:b/>
          <w:bCs/>
        </w:rPr>
        <w:t>PROPERTIES IN CITY OF ______________</w:t>
      </w:r>
    </w:p>
    <w:p w14:paraId="4B4B0752" w14:textId="1864BDEB" w:rsidR="00245BD7" w:rsidRDefault="00245BD7" w:rsidP="00245BD7">
      <w:pPr>
        <w:rPr>
          <w:b/>
          <w:bCs/>
        </w:rPr>
      </w:pPr>
    </w:p>
    <w:p w14:paraId="711E72EB" w14:textId="77777777" w:rsidR="00C0000E" w:rsidRDefault="00C0000E" w:rsidP="00245BD7">
      <w:pPr>
        <w:rPr>
          <w:b/>
          <w:bCs/>
        </w:rPr>
      </w:pPr>
    </w:p>
    <w:p w14:paraId="6BD68DC6" w14:textId="3D86A2C0" w:rsidR="00245BD7" w:rsidRDefault="00245BD7" w:rsidP="00245BD7">
      <w:proofErr w:type="gramStart"/>
      <w:r>
        <w:rPr>
          <w:b/>
          <w:bCs/>
        </w:rPr>
        <w:t>WHEREAS</w:t>
      </w:r>
      <w:r w:rsidR="003E247D">
        <w:t>,</w:t>
      </w:r>
      <w:proofErr w:type="gramEnd"/>
      <w:r w:rsidR="003E247D">
        <w:t xml:space="preserve"> the Board of </w:t>
      </w:r>
      <w:r w:rsidR="00BB17D0">
        <w:t>M</w:t>
      </w:r>
      <w:r w:rsidR="003E247D">
        <w:t>ayor and Aldermen</w:t>
      </w:r>
      <w:r w:rsidR="00BB17D0">
        <w:t xml:space="preserve"> of the City of ____________ has authority under state law, located at </w:t>
      </w:r>
      <w:r w:rsidR="00BB17D0" w:rsidRPr="004B6398">
        <w:rPr>
          <w:i/>
          <w:iCs/>
        </w:rPr>
        <w:t>Tennessee Code Annotated</w:t>
      </w:r>
      <w:r w:rsidR="00BB17D0">
        <w:t xml:space="preserve"> </w:t>
      </w:r>
      <w:r w:rsidR="00BB17D0">
        <w:rPr>
          <w:rFonts w:cs="Arial"/>
        </w:rPr>
        <w:t>§</w:t>
      </w:r>
      <w:r w:rsidR="00BB17D0">
        <w:t xml:space="preserve"> 7-86-127</w:t>
      </w:r>
      <w:r w:rsidR="00A26F7E">
        <w:t xml:space="preserve">, to require that all properties within city limits </w:t>
      </w:r>
      <w:r w:rsidR="00E940D6">
        <w:t xml:space="preserve">post </w:t>
      </w:r>
      <w:r w:rsidR="00080EA4">
        <w:t>street numbers identifying such properties</w:t>
      </w:r>
      <w:r w:rsidR="006763D4">
        <w:t xml:space="preserve">; </w:t>
      </w:r>
      <w:r w:rsidR="00757D65">
        <w:t>and</w:t>
      </w:r>
    </w:p>
    <w:p w14:paraId="2D97AAB0" w14:textId="2E7BDF01" w:rsidR="006763D4" w:rsidRDefault="006763D4" w:rsidP="00245BD7"/>
    <w:p w14:paraId="612704A0" w14:textId="139EAE5A" w:rsidR="006763D4" w:rsidRDefault="006763D4" w:rsidP="00245BD7">
      <w:proofErr w:type="gramStart"/>
      <w:r>
        <w:rPr>
          <w:b/>
          <w:bCs/>
        </w:rPr>
        <w:t>WHEREAS</w:t>
      </w:r>
      <w:r>
        <w:t>,</w:t>
      </w:r>
      <w:proofErr w:type="gramEnd"/>
      <w:r>
        <w:t xml:space="preserve"> </w:t>
      </w:r>
      <w:r w:rsidR="007B0BD0">
        <w:t>properties must be identified by numbers that may clearly</w:t>
      </w:r>
      <w:r w:rsidR="00C73600">
        <w:t xml:space="preserve"> be</w:t>
      </w:r>
      <w:r w:rsidR="007B0BD0">
        <w:t xml:space="preserve"> viewed from the right of way </w:t>
      </w:r>
      <w:r w:rsidR="00370502">
        <w:t>in order to provide timely</w:t>
      </w:r>
      <w:r w:rsidR="007B0BD0">
        <w:t xml:space="preserve"> emergency response</w:t>
      </w:r>
      <w:r w:rsidR="000A0CFF">
        <w:t xml:space="preserve"> and other city services to such properties</w:t>
      </w:r>
      <w:r w:rsidR="00757D65">
        <w:t>.</w:t>
      </w:r>
    </w:p>
    <w:p w14:paraId="388CADD0" w14:textId="07F4D4F7" w:rsidR="00757D65" w:rsidRDefault="00757D65" w:rsidP="00245BD7"/>
    <w:p w14:paraId="569AB762" w14:textId="776650E0" w:rsidR="00757D65" w:rsidRDefault="00757D65" w:rsidP="00245BD7">
      <w:r>
        <w:rPr>
          <w:b/>
          <w:bCs/>
        </w:rPr>
        <w:t>NOW THEREFORE BE I</w:t>
      </w:r>
      <w:r w:rsidR="002941C8">
        <w:rPr>
          <w:b/>
          <w:bCs/>
        </w:rPr>
        <w:t>T</w:t>
      </w:r>
      <w:r>
        <w:rPr>
          <w:b/>
          <w:bCs/>
        </w:rPr>
        <w:t xml:space="preserve"> </w:t>
      </w:r>
      <w:r w:rsidR="007E2544">
        <w:rPr>
          <w:b/>
          <w:bCs/>
        </w:rPr>
        <w:t>ORDAINED</w:t>
      </w:r>
      <w:r>
        <w:rPr>
          <w:b/>
          <w:bCs/>
        </w:rPr>
        <w:t xml:space="preserve"> </w:t>
      </w:r>
      <w:r w:rsidR="00085B74">
        <w:t>by the Board of Mayor and Aldermen</w:t>
      </w:r>
      <w:r w:rsidR="00B749C8">
        <w:t xml:space="preserve"> of the City </w:t>
      </w:r>
      <w:proofErr w:type="gramStart"/>
      <w:r w:rsidR="00B749C8">
        <w:t xml:space="preserve">of </w:t>
      </w:r>
      <w:r w:rsidR="002941C8" w:rsidRPr="00085B74">
        <w:t xml:space="preserve"> _</w:t>
      </w:r>
      <w:proofErr w:type="gramEnd"/>
      <w:r w:rsidR="002941C8" w:rsidRPr="00085B74">
        <w:t>______________</w:t>
      </w:r>
      <w:r w:rsidR="00B749C8">
        <w:t xml:space="preserve"> as follows:</w:t>
      </w:r>
    </w:p>
    <w:p w14:paraId="2B39A51A" w14:textId="5D7F9682" w:rsidR="00B749C8" w:rsidRDefault="00B749C8" w:rsidP="00245BD7"/>
    <w:p w14:paraId="7CBFD7B3" w14:textId="77777777" w:rsidR="00C0000E" w:rsidRDefault="00C0000E" w:rsidP="00245BD7">
      <w:pPr>
        <w:rPr>
          <w:b/>
          <w:bCs/>
        </w:rPr>
      </w:pPr>
    </w:p>
    <w:p w14:paraId="02BDDEAF" w14:textId="382BA0AD" w:rsidR="00B749C8" w:rsidRDefault="00B749C8" w:rsidP="00245BD7">
      <w:r w:rsidRPr="002E4E05">
        <w:rPr>
          <w:b/>
          <w:bCs/>
        </w:rPr>
        <w:t>Section 1</w:t>
      </w:r>
      <w:r>
        <w:t xml:space="preserve">. </w:t>
      </w:r>
      <w:r w:rsidR="001A639B">
        <w:t>The governing body adopts these requirements for all properties located inside city limits:</w:t>
      </w:r>
    </w:p>
    <w:p w14:paraId="5884C112" w14:textId="77777777" w:rsidR="00DE067A" w:rsidRPr="00085B74" w:rsidRDefault="00DE067A" w:rsidP="00245BD7"/>
    <w:p w14:paraId="69524961" w14:textId="6127F4B2" w:rsidR="00D7606E" w:rsidRPr="00CB4561" w:rsidRDefault="00D7606E" w:rsidP="00D7606E">
      <w:pPr>
        <w:rPr>
          <w:b/>
          <w:bCs/>
        </w:rPr>
      </w:pPr>
      <w:r w:rsidRPr="00CB4561">
        <w:rPr>
          <w:b/>
          <w:bCs/>
        </w:rPr>
        <w:t>Premises Identification.</w:t>
      </w:r>
    </w:p>
    <w:p w14:paraId="59B2A362" w14:textId="3532C024" w:rsidR="00D7606E" w:rsidRDefault="00D7606E"/>
    <w:p w14:paraId="7BD6646A" w14:textId="42601C1A" w:rsidR="00D7606E" w:rsidRDefault="00D7606E" w:rsidP="00D7606E">
      <w:pPr>
        <w:pStyle w:val="ListParagraph"/>
        <w:numPr>
          <w:ilvl w:val="0"/>
          <w:numId w:val="1"/>
        </w:numPr>
      </w:pPr>
      <w:r>
        <w:t>All structures now or hereafter erected</w:t>
      </w:r>
      <w:r w:rsidR="00323818">
        <w:t xml:space="preserve">, including those under construction, </w:t>
      </w:r>
      <w:r>
        <w:t>which have been assigned a property number must conspicuously display said number in a position to be plainly legible and visible from the street or road fronting the property.</w:t>
      </w:r>
    </w:p>
    <w:p w14:paraId="643BA251" w14:textId="259D957D" w:rsidR="00D7606E" w:rsidRDefault="00D7606E" w:rsidP="00D7606E">
      <w:pPr>
        <w:pStyle w:val="ListParagraph"/>
        <w:numPr>
          <w:ilvl w:val="0"/>
          <w:numId w:val="1"/>
        </w:numPr>
      </w:pPr>
      <w:r>
        <w:t>Address numbers for suites within a multiple tenant building or complex shall be individually identified in a manner approved by the fire/building official.</w:t>
      </w:r>
    </w:p>
    <w:p w14:paraId="297CB2A8" w14:textId="07C2FB1C" w:rsidR="00323818" w:rsidRDefault="00323818" w:rsidP="00D7606E">
      <w:pPr>
        <w:pStyle w:val="ListParagraph"/>
        <w:numPr>
          <w:ilvl w:val="0"/>
          <w:numId w:val="1"/>
        </w:numPr>
      </w:pPr>
      <w:r w:rsidRPr="00323818">
        <w:t>Where the building is not visible from the street</w:t>
      </w:r>
      <w:r>
        <w:t>,</w:t>
      </w:r>
      <w:r w:rsidRPr="00323818">
        <w:t xml:space="preserve"> or more than one building is on a site, such as one on a long driveway or private roadway, provisions shall be made to clearly identify which driveway or roadway serves the appropriate address.</w:t>
      </w:r>
    </w:p>
    <w:p w14:paraId="7A9C71A8" w14:textId="63A1F59A" w:rsidR="00D7606E" w:rsidRDefault="00D7606E" w:rsidP="00D7606E">
      <w:pPr>
        <w:pStyle w:val="ListParagraph"/>
        <w:numPr>
          <w:ilvl w:val="0"/>
          <w:numId w:val="1"/>
        </w:numPr>
      </w:pPr>
      <w:r w:rsidRPr="00D7606E">
        <w:t xml:space="preserve">Address numbers shall be </w:t>
      </w:r>
      <w:r w:rsidR="00323818" w:rsidRPr="00D7606E">
        <w:t>Arabic</w:t>
      </w:r>
      <w:r w:rsidRPr="00D7606E">
        <w:t xml:space="preserve"> numerals</w:t>
      </w:r>
      <w:r w:rsidR="007C4104">
        <w:t xml:space="preserve"> and shall be numeral type rather than script type</w:t>
      </w:r>
      <w:r>
        <w:t>.</w:t>
      </w:r>
    </w:p>
    <w:p w14:paraId="59E767BD" w14:textId="5BB6E26A" w:rsidR="00323818" w:rsidRDefault="00323818" w:rsidP="00D7606E">
      <w:pPr>
        <w:pStyle w:val="ListParagraph"/>
        <w:numPr>
          <w:ilvl w:val="0"/>
          <w:numId w:val="1"/>
        </w:numPr>
      </w:pPr>
      <w:r>
        <w:t>Numbers and letters shall contrast with their background.</w:t>
      </w:r>
    </w:p>
    <w:p w14:paraId="619D0BD5" w14:textId="307CF138" w:rsidR="00D7606E" w:rsidRDefault="00323818" w:rsidP="00D7606E">
      <w:pPr>
        <w:pStyle w:val="ListParagraph"/>
        <w:numPr>
          <w:ilvl w:val="0"/>
          <w:numId w:val="1"/>
        </w:numPr>
      </w:pPr>
      <w:r>
        <w:t>For residential properties, a</w:t>
      </w:r>
      <w:r w:rsidR="00D7606E">
        <w:t xml:space="preserve">ddress numbers shall be a minimum of </w:t>
      </w:r>
      <w:bookmarkStart w:id="0" w:name="_Hlk69732124"/>
      <w:r w:rsidR="00D7606E">
        <w:t>4 inches high, with a minimum stroke width of ½-inch.</w:t>
      </w:r>
      <w:bookmarkEnd w:id="0"/>
      <w:r w:rsidR="00B978EC">
        <w:t xml:space="preserve">  The address number shall be posted on the mailbox at the street as well as on the building.</w:t>
      </w:r>
    </w:p>
    <w:p w14:paraId="4D47482F" w14:textId="338FF518" w:rsidR="003F658C" w:rsidRPr="003F658C" w:rsidRDefault="003F658C" w:rsidP="003F658C">
      <w:pPr>
        <w:pStyle w:val="ListParagraph"/>
        <w:numPr>
          <w:ilvl w:val="0"/>
          <w:numId w:val="1"/>
        </w:numPr>
      </w:pPr>
      <w:r w:rsidRPr="003F658C">
        <w:t xml:space="preserve">For developments served by cluster mailboxes where no individual mailbox is provided in front of the house, the property owner shall install a post mounted </w:t>
      </w:r>
      <w:r w:rsidR="00D23749">
        <w:t xml:space="preserve">sign </w:t>
      </w:r>
      <w:r w:rsidR="00CC2F45">
        <w:t xml:space="preserve">near the curb </w:t>
      </w:r>
      <w:r w:rsidR="00D23749">
        <w:t xml:space="preserve">displaying the assigned property number.  Said sign </w:t>
      </w:r>
      <w:r w:rsidR="008465F1">
        <w:t xml:space="preserve">shall be reflective </w:t>
      </w:r>
      <w:r w:rsidR="008465F1">
        <w:lastRenderedPageBreak/>
        <w:t xml:space="preserve">with </w:t>
      </w:r>
      <w:r w:rsidR="005A38F5">
        <w:t>a green background</w:t>
      </w:r>
      <w:r w:rsidR="00DE667E">
        <w:t xml:space="preserve"> and </w:t>
      </w:r>
      <w:r w:rsidR="005A38F5">
        <w:t xml:space="preserve">white </w:t>
      </w:r>
      <w:r w:rsidR="008465F1">
        <w:t>numbers</w:t>
      </w:r>
      <w:r w:rsidR="00DE667E">
        <w:t>.  Said number</w:t>
      </w:r>
      <w:r w:rsidR="00611F2E">
        <w:t>s</w:t>
      </w:r>
      <w:r w:rsidR="00DE667E">
        <w:t xml:space="preserve"> shall be a minimum of </w:t>
      </w:r>
      <w:r w:rsidR="001B166C">
        <w:t>4</w:t>
      </w:r>
      <w:r w:rsidR="00DE667E" w:rsidRPr="00DE667E">
        <w:t xml:space="preserve"> inches high, with a minimum stroke width of </w:t>
      </w:r>
      <w:r w:rsidR="001B166C">
        <w:t>½-</w:t>
      </w:r>
      <w:r w:rsidR="00DE667E" w:rsidRPr="00DE667E">
        <w:t>inch.</w:t>
      </w:r>
    </w:p>
    <w:p w14:paraId="1B0244B8" w14:textId="09BB4470" w:rsidR="007C4104" w:rsidRDefault="007C4104" w:rsidP="007C4104">
      <w:pPr>
        <w:pStyle w:val="ListParagraph"/>
        <w:numPr>
          <w:ilvl w:val="0"/>
          <w:numId w:val="1"/>
        </w:numPr>
      </w:pPr>
      <w:r>
        <w:t>For commercial properties, numbers shall be sized according to the following chart:</w:t>
      </w:r>
    </w:p>
    <w:p w14:paraId="66FA5451" w14:textId="77777777" w:rsidR="007C4104" w:rsidRDefault="007C4104" w:rsidP="007C4104"/>
    <w:tbl>
      <w:tblPr>
        <w:tblStyle w:val="TableGrid"/>
        <w:tblW w:w="0" w:type="auto"/>
        <w:jc w:val="center"/>
        <w:tblLook w:val="04A0" w:firstRow="1" w:lastRow="0" w:firstColumn="1" w:lastColumn="0" w:noHBand="0" w:noVBand="1"/>
      </w:tblPr>
      <w:tblGrid>
        <w:gridCol w:w="2425"/>
        <w:gridCol w:w="2160"/>
      </w:tblGrid>
      <w:tr w:rsidR="007C4104" w:rsidRPr="00323818" w14:paraId="2B952354" w14:textId="77777777" w:rsidTr="001B166C">
        <w:trPr>
          <w:jc w:val="center"/>
        </w:trPr>
        <w:tc>
          <w:tcPr>
            <w:tcW w:w="2425" w:type="dxa"/>
            <w:vAlign w:val="bottom"/>
          </w:tcPr>
          <w:p w14:paraId="2C8183F7" w14:textId="77777777" w:rsidR="007C4104" w:rsidRPr="00323818" w:rsidRDefault="007C4104" w:rsidP="003530E1">
            <w:pPr>
              <w:pStyle w:val="ListParagraph"/>
              <w:ind w:left="0"/>
              <w:rPr>
                <w:b/>
                <w:bCs/>
              </w:rPr>
            </w:pPr>
            <w:r w:rsidRPr="00323818">
              <w:rPr>
                <w:b/>
                <w:bCs/>
              </w:rPr>
              <w:t>Distance between building and street or roadway</w:t>
            </w:r>
          </w:p>
        </w:tc>
        <w:tc>
          <w:tcPr>
            <w:tcW w:w="2160" w:type="dxa"/>
            <w:vAlign w:val="bottom"/>
          </w:tcPr>
          <w:p w14:paraId="7FB05AB7" w14:textId="77777777" w:rsidR="007C4104" w:rsidRPr="00323818" w:rsidRDefault="007C4104" w:rsidP="003530E1">
            <w:pPr>
              <w:pStyle w:val="ListParagraph"/>
              <w:ind w:left="0"/>
              <w:rPr>
                <w:b/>
                <w:bCs/>
              </w:rPr>
            </w:pPr>
            <w:r w:rsidRPr="00323818">
              <w:rPr>
                <w:b/>
                <w:bCs/>
              </w:rPr>
              <w:t>Minimum height of numbers</w:t>
            </w:r>
          </w:p>
        </w:tc>
      </w:tr>
      <w:tr w:rsidR="007C4104" w:rsidRPr="00323818" w14:paraId="690E637A" w14:textId="77777777" w:rsidTr="001B166C">
        <w:trPr>
          <w:jc w:val="center"/>
        </w:trPr>
        <w:tc>
          <w:tcPr>
            <w:tcW w:w="2425" w:type="dxa"/>
          </w:tcPr>
          <w:p w14:paraId="1379294E" w14:textId="2F804B8A" w:rsidR="007C4104" w:rsidRPr="00323818" w:rsidRDefault="006066A0" w:rsidP="006066A0">
            <w:pPr>
              <w:pStyle w:val="ListParagraph"/>
              <w:ind w:left="0"/>
              <w:jc w:val="center"/>
            </w:pPr>
            <w:r>
              <w:t xml:space="preserve">   </w:t>
            </w:r>
            <w:r w:rsidR="007C4104" w:rsidRPr="00323818">
              <w:t>0 - 100 feet</w:t>
            </w:r>
          </w:p>
        </w:tc>
        <w:tc>
          <w:tcPr>
            <w:tcW w:w="2160" w:type="dxa"/>
          </w:tcPr>
          <w:p w14:paraId="2A325C5F" w14:textId="2C260C7E" w:rsidR="007C4104" w:rsidRPr="00323818" w:rsidRDefault="007C4104" w:rsidP="003530E1">
            <w:pPr>
              <w:pStyle w:val="ListParagraph"/>
              <w:ind w:left="0"/>
            </w:pPr>
            <w:r w:rsidRPr="00323818">
              <w:t xml:space="preserve">      </w:t>
            </w:r>
            <w:r w:rsidR="003D130B">
              <w:t>4</w:t>
            </w:r>
            <w:r w:rsidRPr="00323818">
              <w:t xml:space="preserve"> inches</w:t>
            </w:r>
          </w:p>
        </w:tc>
      </w:tr>
      <w:tr w:rsidR="007C4104" w:rsidRPr="00323818" w14:paraId="12A903D2" w14:textId="77777777" w:rsidTr="001B166C">
        <w:trPr>
          <w:jc w:val="center"/>
        </w:trPr>
        <w:tc>
          <w:tcPr>
            <w:tcW w:w="2425" w:type="dxa"/>
          </w:tcPr>
          <w:p w14:paraId="680B3DA6" w14:textId="77777777" w:rsidR="007C4104" w:rsidRPr="00323818" w:rsidRDefault="007C4104" w:rsidP="006066A0">
            <w:pPr>
              <w:jc w:val="center"/>
            </w:pPr>
            <w:r w:rsidRPr="00323818">
              <w:t>101 - 150 feet</w:t>
            </w:r>
          </w:p>
        </w:tc>
        <w:tc>
          <w:tcPr>
            <w:tcW w:w="2160" w:type="dxa"/>
          </w:tcPr>
          <w:p w14:paraId="1248EC96" w14:textId="577ADD4B" w:rsidR="007C4104" w:rsidRPr="00323818" w:rsidRDefault="007C4104" w:rsidP="003530E1">
            <w:r w:rsidRPr="00323818">
              <w:t xml:space="preserve">      </w:t>
            </w:r>
            <w:r w:rsidR="008F4937">
              <w:t>6</w:t>
            </w:r>
            <w:r w:rsidRPr="00323818">
              <w:t xml:space="preserve"> inches</w:t>
            </w:r>
          </w:p>
        </w:tc>
      </w:tr>
      <w:tr w:rsidR="007C4104" w:rsidRPr="00323818" w14:paraId="1383A38D" w14:textId="77777777" w:rsidTr="001B166C">
        <w:trPr>
          <w:jc w:val="center"/>
        </w:trPr>
        <w:tc>
          <w:tcPr>
            <w:tcW w:w="2425" w:type="dxa"/>
          </w:tcPr>
          <w:p w14:paraId="79045425" w14:textId="77777777" w:rsidR="007C4104" w:rsidRPr="00323818" w:rsidRDefault="007C4104" w:rsidP="006066A0">
            <w:pPr>
              <w:jc w:val="center"/>
            </w:pPr>
            <w:r w:rsidRPr="00323818">
              <w:t>151 - 200 feet</w:t>
            </w:r>
          </w:p>
        </w:tc>
        <w:tc>
          <w:tcPr>
            <w:tcW w:w="2160" w:type="dxa"/>
          </w:tcPr>
          <w:p w14:paraId="361D0CDF" w14:textId="4F566C98" w:rsidR="007C4104" w:rsidRPr="00323818" w:rsidRDefault="007C4104" w:rsidP="003530E1">
            <w:r w:rsidRPr="00323818">
              <w:t xml:space="preserve">      </w:t>
            </w:r>
            <w:r w:rsidR="008F4937">
              <w:t>8</w:t>
            </w:r>
            <w:r w:rsidRPr="00323818">
              <w:t xml:space="preserve"> inches</w:t>
            </w:r>
          </w:p>
        </w:tc>
      </w:tr>
      <w:tr w:rsidR="007C4104" w:rsidRPr="00323818" w14:paraId="4FD2F728" w14:textId="77777777" w:rsidTr="001B166C">
        <w:trPr>
          <w:jc w:val="center"/>
        </w:trPr>
        <w:tc>
          <w:tcPr>
            <w:tcW w:w="2425" w:type="dxa"/>
          </w:tcPr>
          <w:p w14:paraId="3C261836" w14:textId="77777777" w:rsidR="007C4104" w:rsidRPr="00323818" w:rsidRDefault="007C4104" w:rsidP="006066A0">
            <w:pPr>
              <w:jc w:val="center"/>
            </w:pPr>
            <w:r w:rsidRPr="00323818">
              <w:t>201 - 250 feet</w:t>
            </w:r>
          </w:p>
        </w:tc>
        <w:tc>
          <w:tcPr>
            <w:tcW w:w="2160" w:type="dxa"/>
          </w:tcPr>
          <w:p w14:paraId="1C7BAE1B" w14:textId="6EDB9118" w:rsidR="007C4104" w:rsidRPr="00323818" w:rsidRDefault="007C4104" w:rsidP="003530E1">
            <w:r w:rsidRPr="00323818">
              <w:t xml:space="preserve">     </w:t>
            </w:r>
            <w:r w:rsidR="008F4937">
              <w:t>10</w:t>
            </w:r>
            <w:r w:rsidRPr="00323818">
              <w:t xml:space="preserve"> inches</w:t>
            </w:r>
          </w:p>
        </w:tc>
      </w:tr>
      <w:tr w:rsidR="007C4104" w:rsidRPr="00323818" w14:paraId="1E8BE33F" w14:textId="77777777" w:rsidTr="001B166C">
        <w:trPr>
          <w:jc w:val="center"/>
        </w:trPr>
        <w:tc>
          <w:tcPr>
            <w:tcW w:w="2425" w:type="dxa"/>
          </w:tcPr>
          <w:p w14:paraId="6B609FF5" w14:textId="77777777" w:rsidR="007C4104" w:rsidRPr="00323818" w:rsidRDefault="007C4104" w:rsidP="006066A0">
            <w:pPr>
              <w:jc w:val="center"/>
            </w:pPr>
            <w:r w:rsidRPr="00323818">
              <w:t>251 - 325 feet</w:t>
            </w:r>
          </w:p>
        </w:tc>
        <w:tc>
          <w:tcPr>
            <w:tcW w:w="2160" w:type="dxa"/>
          </w:tcPr>
          <w:p w14:paraId="74E55F74" w14:textId="07C0C4C5" w:rsidR="007C4104" w:rsidRPr="00323818" w:rsidRDefault="007C4104" w:rsidP="003530E1">
            <w:r w:rsidRPr="00323818">
              <w:t xml:space="preserve">    </w:t>
            </w:r>
            <w:r w:rsidR="002C2B29">
              <w:t xml:space="preserve"> </w:t>
            </w:r>
            <w:r w:rsidRPr="00323818">
              <w:t>1</w:t>
            </w:r>
            <w:r w:rsidR="002C2B29">
              <w:t>2</w:t>
            </w:r>
            <w:r w:rsidRPr="00323818">
              <w:t xml:space="preserve"> inches</w:t>
            </w:r>
          </w:p>
        </w:tc>
      </w:tr>
      <w:tr w:rsidR="007C4104" w:rsidRPr="00323818" w14:paraId="738B1AAE" w14:textId="77777777" w:rsidTr="001B166C">
        <w:trPr>
          <w:jc w:val="center"/>
        </w:trPr>
        <w:tc>
          <w:tcPr>
            <w:tcW w:w="2425" w:type="dxa"/>
          </w:tcPr>
          <w:p w14:paraId="7799B655" w14:textId="77777777" w:rsidR="007C4104" w:rsidRPr="00323818" w:rsidRDefault="007C4104" w:rsidP="006066A0">
            <w:pPr>
              <w:jc w:val="center"/>
            </w:pPr>
            <w:r w:rsidRPr="00323818">
              <w:t>326 - 400 feet</w:t>
            </w:r>
          </w:p>
        </w:tc>
        <w:tc>
          <w:tcPr>
            <w:tcW w:w="2160" w:type="dxa"/>
          </w:tcPr>
          <w:p w14:paraId="5EF4E1E6" w14:textId="43DE4F45" w:rsidR="007C4104" w:rsidRPr="00323818" w:rsidRDefault="007C4104" w:rsidP="003530E1">
            <w:r w:rsidRPr="00323818">
              <w:t xml:space="preserve">   </w:t>
            </w:r>
            <w:r w:rsidR="002C2B29">
              <w:t xml:space="preserve"> </w:t>
            </w:r>
            <w:r w:rsidRPr="00323818">
              <w:t xml:space="preserve"> 1</w:t>
            </w:r>
            <w:r w:rsidR="002C2B29">
              <w:t>6</w:t>
            </w:r>
            <w:r w:rsidRPr="00323818">
              <w:t xml:space="preserve"> inches</w:t>
            </w:r>
          </w:p>
        </w:tc>
      </w:tr>
      <w:tr w:rsidR="007C4104" w:rsidRPr="00323818" w14:paraId="714B8C91" w14:textId="77777777" w:rsidTr="001B166C">
        <w:trPr>
          <w:jc w:val="center"/>
        </w:trPr>
        <w:tc>
          <w:tcPr>
            <w:tcW w:w="2425" w:type="dxa"/>
          </w:tcPr>
          <w:p w14:paraId="3A8B7528" w14:textId="77777777" w:rsidR="007C4104" w:rsidRPr="00323818" w:rsidRDefault="007C4104" w:rsidP="006066A0">
            <w:pPr>
              <w:jc w:val="center"/>
            </w:pPr>
            <w:r>
              <w:t>Over 400 feet</w:t>
            </w:r>
          </w:p>
        </w:tc>
        <w:tc>
          <w:tcPr>
            <w:tcW w:w="2160" w:type="dxa"/>
          </w:tcPr>
          <w:p w14:paraId="131A4165" w14:textId="77777777" w:rsidR="007C4104" w:rsidRPr="00323818" w:rsidRDefault="007C4104" w:rsidP="003530E1">
            <w:r>
              <w:t>to be determined on a case-by-case basis</w:t>
            </w:r>
          </w:p>
        </w:tc>
      </w:tr>
    </w:tbl>
    <w:p w14:paraId="7A5C7E73" w14:textId="77777777" w:rsidR="007C4104" w:rsidRDefault="007C4104" w:rsidP="007C4104"/>
    <w:p w14:paraId="64DA9665" w14:textId="78DF6749" w:rsidR="007C4104" w:rsidRDefault="007C4104" w:rsidP="007C4104">
      <w:pPr>
        <w:pStyle w:val="ListParagraph"/>
        <w:numPr>
          <w:ilvl w:val="0"/>
          <w:numId w:val="1"/>
        </w:numPr>
      </w:pPr>
      <w:r>
        <w:t xml:space="preserve">For commercial properties, </w:t>
      </w:r>
      <w:r w:rsidR="007B2251">
        <w:t xml:space="preserve">in addition to an address on the front of the building, </w:t>
      </w:r>
      <w:r>
        <w:t>s</w:t>
      </w:r>
      <w:r w:rsidRPr="007C4104">
        <w:t>treet address numbers shall be prominently displayed on rear entrance or access doors of individual tenant spaces in multiple tenant buildings</w:t>
      </w:r>
      <w:r w:rsidR="007B2251">
        <w:t>,</w:t>
      </w:r>
      <w:r w:rsidRPr="007C4104">
        <w:t xml:space="preserve"> and when required by the </w:t>
      </w:r>
      <w:r>
        <w:t>f</w:t>
      </w:r>
      <w:r w:rsidRPr="007C4104">
        <w:t>ire</w:t>
      </w:r>
      <w:r>
        <w:t>/building o</w:t>
      </w:r>
      <w:r w:rsidRPr="007C4104">
        <w:t>fficial</w:t>
      </w:r>
      <w:r w:rsidR="00611F2E">
        <w:t>.</w:t>
      </w:r>
    </w:p>
    <w:p w14:paraId="41130196" w14:textId="18AC6714" w:rsidR="007C4104" w:rsidRDefault="007C4104" w:rsidP="007C4104">
      <w:pPr>
        <w:pStyle w:val="ListParagraph"/>
        <w:numPr>
          <w:ilvl w:val="0"/>
          <w:numId w:val="1"/>
        </w:numPr>
      </w:pPr>
      <w:r>
        <w:t>It shall be the responsibility of the owner of the structure to ensure that the property number which has been assigned to the structure is affixed to said structure in accordance with this ordinance.</w:t>
      </w:r>
    </w:p>
    <w:p w14:paraId="1130C0EB" w14:textId="5AB0BA86" w:rsidR="007C4104" w:rsidRDefault="007C4104" w:rsidP="007C4104">
      <w:pPr>
        <w:pStyle w:val="ListParagraph"/>
        <w:numPr>
          <w:ilvl w:val="0"/>
          <w:numId w:val="1"/>
        </w:numPr>
      </w:pPr>
      <w:r>
        <w:t>The property owner shall be responsible for the removal of any different number which might be mistaken for, or confused with, the number which has been assigned to the structure(s) located on the property.</w:t>
      </w:r>
    </w:p>
    <w:p w14:paraId="5D74C854" w14:textId="170560E3" w:rsidR="00323818" w:rsidRDefault="007C4104" w:rsidP="007C4104">
      <w:pPr>
        <w:pStyle w:val="ListParagraph"/>
        <w:numPr>
          <w:ilvl w:val="0"/>
          <w:numId w:val="1"/>
        </w:numPr>
      </w:pPr>
      <w:r>
        <w:t>It shall be unlawful for any person to alter, deface, or take down any number placed on any structure in accordance with this ordinance, except for repair or replacement</w:t>
      </w:r>
      <w:r w:rsidR="004534B8">
        <w:t>.</w:t>
      </w:r>
    </w:p>
    <w:p w14:paraId="0DAD3B29" w14:textId="77777777" w:rsidR="00323818" w:rsidRDefault="00323818"/>
    <w:p w14:paraId="138BE923" w14:textId="26A1B53A" w:rsidR="00323818" w:rsidRPr="00CB4561" w:rsidRDefault="00C86484">
      <w:pPr>
        <w:rPr>
          <w:b/>
          <w:bCs/>
        </w:rPr>
      </w:pPr>
      <w:r>
        <w:rPr>
          <w:b/>
          <w:bCs/>
        </w:rPr>
        <w:t xml:space="preserve">Violation and </w:t>
      </w:r>
      <w:r w:rsidR="00380C07">
        <w:rPr>
          <w:b/>
          <w:bCs/>
        </w:rPr>
        <w:t>P</w:t>
      </w:r>
      <w:r>
        <w:rPr>
          <w:b/>
          <w:bCs/>
        </w:rPr>
        <w:t>enalties</w:t>
      </w:r>
    </w:p>
    <w:p w14:paraId="186661D1" w14:textId="77777777" w:rsidR="00323818" w:rsidRDefault="00323818"/>
    <w:p w14:paraId="3B484998" w14:textId="4DD516A4" w:rsidR="007C4104" w:rsidRDefault="00D7606E" w:rsidP="007C4104">
      <w:pPr>
        <w:pStyle w:val="ListParagraph"/>
        <w:numPr>
          <w:ilvl w:val="0"/>
          <w:numId w:val="2"/>
        </w:numPr>
      </w:pPr>
      <w:r>
        <w:t>If the owner of any structure shall fail, refuse</w:t>
      </w:r>
      <w:r w:rsidR="00BB4626">
        <w:t>,</w:t>
      </w:r>
      <w:r>
        <w:t xml:space="preserve"> or neglect to affix the assigned number to the structure, or replace it when necessary, the </w:t>
      </w:r>
      <w:r w:rsidR="00323818">
        <w:t>fire/building official</w:t>
      </w:r>
      <w:r>
        <w:t xml:space="preserve"> may cause a notice to be personally served on such </w:t>
      </w:r>
      <w:proofErr w:type="gramStart"/>
      <w:r>
        <w:t>owner</w:t>
      </w:r>
      <w:r w:rsidR="00A805BC">
        <w:t>,</w:t>
      </w:r>
      <w:r>
        <w:t xml:space="preserve"> or</w:t>
      </w:r>
      <w:proofErr w:type="gramEnd"/>
      <w:r>
        <w:t xml:space="preserve"> mailed by registered mail to his last known address, ordering </w:t>
      </w:r>
      <w:r w:rsidR="00826469">
        <w:t>the owner</w:t>
      </w:r>
      <w:r>
        <w:t xml:space="preserve"> to place or replace a number.</w:t>
      </w:r>
      <w:r w:rsidR="007C4104">
        <w:t xml:space="preserve">  </w:t>
      </w:r>
      <w:r>
        <w:t xml:space="preserve">The owner shall comply with said notice within ten (10) </w:t>
      </w:r>
      <w:r w:rsidR="007C4104">
        <w:t xml:space="preserve">calendar </w:t>
      </w:r>
      <w:r>
        <w:t>days from the date of receipt.</w:t>
      </w:r>
    </w:p>
    <w:p w14:paraId="0AAAC12B" w14:textId="5D3A4908" w:rsidR="007C4104" w:rsidRDefault="00C806D0" w:rsidP="007C4104">
      <w:pPr>
        <w:pStyle w:val="ListParagraph"/>
        <w:numPr>
          <w:ilvl w:val="0"/>
          <w:numId w:val="2"/>
        </w:numPr>
      </w:pPr>
      <w:r>
        <w:t>The o</w:t>
      </w:r>
      <w:r w:rsidR="00D7606E">
        <w:t xml:space="preserve">wner of </w:t>
      </w:r>
      <w:r>
        <w:t xml:space="preserve">any </w:t>
      </w:r>
      <w:r w:rsidR="00D7606E">
        <w:t xml:space="preserve">structure located within residential areas of </w:t>
      </w:r>
      <w:r w:rsidR="007C4104">
        <w:t xml:space="preserve">the city </w:t>
      </w:r>
      <w:r w:rsidR="00D7606E">
        <w:t xml:space="preserve">shall have sixty (60) days </w:t>
      </w:r>
      <w:r w:rsidR="00BA1A6B">
        <w:t>after</w:t>
      </w:r>
      <w:r w:rsidR="00D7606E">
        <w:t xml:space="preserve"> the effective date of this </w:t>
      </w:r>
      <w:r w:rsidR="00831E3D">
        <w:t>o</w:t>
      </w:r>
      <w:r w:rsidR="00D7606E">
        <w:t>rdinance to comply with the provisions herein.</w:t>
      </w:r>
    </w:p>
    <w:p w14:paraId="2010A933" w14:textId="1E9F1A37" w:rsidR="009922AC" w:rsidRDefault="00181286" w:rsidP="007C4104">
      <w:pPr>
        <w:pStyle w:val="ListParagraph"/>
        <w:numPr>
          <w:ilvl w:val="0"/>
          <w:numId w:val="2"/>
        </w:numPr>
      </w:pPr>
      <w:r>
        <w:t xml:space="preserve">If the owner fails to comply with the notice issued by </w:t>
      </w:r>
      <w:r w:rsidR="007454A9">
        <w:t>the fire/building official, a citation to municipal court may be served</w:t>
      </w:r>
      <w:r w:rsidR="000277A7">
        <w:t xml:space="preserve"> </w:t>
      </w:r>
      <w:r w:rsidR="000809DF">
        <w:t>requiring</w:t>
      </w:r>
      <w:r w:rsidR="000277A7">
        <w:t xml:space="preserve"> the owner to appear in city court</w:t>
      </w:r>
      <w:r w:rsidR="00DF3ACF">
        <w:t xml:space="preserve"> and face fines levied for violation </w:t>
      </w:r>
      <w:r w:rsidR="00FA5CDD">
        <w:t>of</w:t>
      </w:r>
      <w:r w:rsidR="00DF3ACF">
        <w:t xml:space="preserve"> this ordinance.</w:t>
      </w:r>
    </w:p>
    <w:p w14:paraId="35A8E9DA" w14:textId="3D641EB7" w:rsidR="00831E3D" w:rsidRDefault="00E24711" w:rsidP="00005901">
      <w:pPr>
        <w:pStyle w:val="ListParagraph"/>
        <w:numPr>
          <w:ilvl w:val="0"/>
          <w:numId w:val="2"/>
        </w:numPr>
      </w:pPr>
      <w:r>
        <w:lastRenderedPageBreak/>
        <w:t xml:space="preserve">The violation of any section of this chapter shall be punishable </w:t>
      </w:r>
      <w:r w:rsidR="0040249F">
        <w:t xml:space="preserve">by a civil </w:t>
      </w:r>
      <w:r w:rsidR="001A0F74">
        <w:t xml:space="preserve">penalty of </w:t>
      </w:r>
      <w:r w:rsidR="00A11945">
        <w:t xml:space="preserve">up to </w:t>
      </w:r>
      <w:r w:rsidR="001A0F74">
        <w:t>fifty dollars ($50.00) for each separate offence</w:t>
      </w:r>
      <w:r w:rsidR="00A11945">
        <w:t>, in addition to court costs</w:t>
      </w:r>
      <w:r>
        <w:t>.</w:t>
      </w:r>
      <w:r w:rsidR="005154B9">
        <w:t xml:space="preserve">  </w:t>
      </w:r>
      <w:r w:rsidR="00005901">
        <w:t>Each day a violation continue</w:t>
      </w:r>
      <w:r w:rsidR="00991591">
        <w:t>s</w:t>
      </w:r>
      <w:r w:rsidR="00005901">
        <w:t xml:space="preserve"> shall constitute a separate offense.</w:t>
      </w:r>
    </w:p>
    <w:p w14:paraId="06414F80" w14:textId="6078E824" w:rsidR="00831E3D" w:rsidRDefault="00831E3D" w:rsidP="00831E3D"/>
    <w:p w14:paraId="7A512E61" w14:textId="0CF43F4E" w:rsidR="00E07C5E" w:rsidRDefault="00F12AA6" w:rsidP="00831E3D">
      <w:r w:rsidRPr="00E07C5E">
        <w:rPr>
          <w:b/>
          <w:bCs/>
        </w:rPr>
        <w:t>Section 2</w:t>
      </w:r>
      <w:r>
        <w:t>.</w:t>
      </w:r>
      <w:r w:rsidR="00E07C5E">
        <w:t xml:space="preserve"> </w:t>
      </w:r>
      <w:r w:rsidR="009C3E06">
        <w:t>If</w:t>
      </w:r>
      <w:r w:rsidR="00E07C5E" w:rsidRPr="00E07C5E">
        <w:t xml:space="preserve"> any section, </w:t>
      </w:r>
      <w:proofErr w:type="gramStart"/>
      <w:r w:rsidR="00E07C5E" w:rsidRPr="00E07C5E">
        <w:t>clause</w:t>
      </w:r>
      <w:proofErr w:type="gramEnd"/>
      <w:r w:rsidR="00E07C5E" w:rsidRPr="00E07C5E">
        <w:t xml:space="preserve"> or phrase of this ordinance is, for any reason, held to be unconstitutional</w:t>
      </w:r>
      <w:r w:rsidR="009C3E06">
        <w:t xml:space="preserve"> or otherwise </w:t>
      </w:r>
      <w:r w:rsidR="002E4E05">
        <w:t>unenforceable</w:t>
      </w:r>
      <w:r w:rsidR="00E07C5E" w:rsidRPr="00E07C5E">
        <w:t>, such decision shall not affect the validity of the remaining portions of this ordinance. </w:t>
      </w:r>
    </w:p>
    <w:p w14:paraId="112D5128" w14:textId="128F1964" w:rsidR="003F6C78" w:rsidRDefault="003F6C78" w:rsidP="00831E3D"/>
    <w:p w14:paraId="196E936F" w14:textId="7BA832A5" w:rsidR="00F12AA6" w:rsidRDefault="003F6C78" w:rsidP="00831E3D">
      <w:r>
        <w:rPr>
          <w:b/>
          <w:bCs/>
        </w:rPr>
        <w:t xml:space="preserve">Section 3. </w:t>
      </w:r>
      <w:r w:rsidR="00543E32">
        <w:t>T</w:t>
      </w:r>
      <w:r w:rsidR="00543E32" w:rsidRPr="00543E32">
        <w:t>his ordinance shall take effect and be in full force and effect from and after the date of its final passage and adoption.</w:t>
      </w:r>
    </w:p>
    <w:p w14:paraId="7EABCD49" w14:textId="1FEF78B6" w:rsidR="00543E32" w:rsidRDefault="00543E32" w:rsidP="00831E3D"/>
    <w:p w14:paraId="40F69617" w14:textId="19D40D1D" w:rsidR="00543E32" w:rsidRDefault="00543E32" w:rsidP="00831E3D"/>
    <w:p w14:paraId="0AAF2358" w14:textId="77777777" w:rsidR="0045448E" w:rsidRDefault="0045448E" w:rsidP="00831E3D">
      <w:r w:rsidRPr="0045448E">
        <w:t>Signed:</w:t>
      </w:r>
      <w:r w:rsidRPr="0045448E">
        <w:br/>
      </w:r>
      <w:r w:rsidRPr="0045448E">
        <w:br/>
      </w:r>
      <w:r w:rsidRPr="0045448E">
        <w:br/>
      </w:r>
      <w:r w:rsidRPr="0045448E">
        <w:br/>
      </w:r>
      <w:r w:rsidRPr="0045448E">
        <w:br/>
        <w:t>___________________________________________</w:t>
      </w:r>
      <w:r w:rsidRPr="0045448E">
        <w:br/>
        <w:t>Mayor</w:t>
      </w:r>
      <w:r w:rsidRPr="0045448E">
        <w:br/>
      </w:r>
      <w:r w:rsidRPr="0045448E">
        <w:br/>
      </w:r>
      <w:r w:rsidRPr="0045448E">
        <w:br/>
        <w:t>Attest:</w:t>
      </w:r>
      <w:r w:rsidRPr="0045448E">
        <w:br/>
      </w:r>
      <w:r w:rsidRPr="0045448E">
        <w:br/>
      </w:r>
      <w:r w:rsidRPr="0045448E">
        <w:br/>
        <w:t>__________________________________________</w:t>
      </w:r>
      <w:r w:rsidRPr="0045448E">
        <w:br/>
        <w:t>Recorder</w:t>
      </w:r>
      <w:r w:rsidRPr="0045448E">
        <w:br/>
      </w:r>
      <w:r w:rsidRPr="0045448E">
        <w:br/>
      </w:r>
      <w:r w:rsidRPr="0045448E">
        <w:br/>
        <w:t>Passed on first reading: ___________________</w:t>
      </w:r>
      <w:r w:rsidRPr="0045448E">
        <w:br/>
      </w:r>
    </w:p>
    <w:p w14:paraId="7707C95B" w14:textId="5C10C700" w:rsidR="00E72AE7" w:rsidRPr="00543E32" w:rsidRDefault="0045448E" w:rsidP="00831E3D">
      <w:r w:rsidRPr="0045448E">
        <w:t>Passed on second reading: ________________</w:t>
      </w:r>
    </w:p>
    <w:p w14:paraId="41629C87" w14:textId="7F1BCCB8" w:rsidR="00831E3D" w:rsidRDefault="00831E3D" w:rsidP="00831E3D"/>
    <w:p w14:paraId="68899B56" w14:textId="77777777" w:rsidR="00831E3D" w:rsidRDefault="00831E3D" w:rsidP="00831E3D"/>
    <w:sectPr w:rsidR="0083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0574"/>
    <w:multiLevelType w:val="hybridMultilevel"/>
    <w:tmpl w:val="DBD0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06E8C"/>
    <w:multiLevelType w:val="hybridMultilevel"/>
    <w:tmpl w:val="B232CD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6E"/>
    <w:rsid w:val="00005901"/>
    <w:rsid w:val="000277A7"/>
    <w:rsid w:val="00075A4C"/>
    <w:rsid w:val="000809DF"/>
    <w:rsid w:val="00080EA4"/>
    <w:rsid w:val="00085B74"/>
    <w:rsid w:val="000A0CFF"/>
    <w:rsid w:val="000F093B"/>
    <w:rsid w:val="00113D62"/>
    <w:rsid w:val="00181286"/>
    <w:rsid w:val="001A0F74"/>
    <w:rsid w:val="001A639B"/>
    <w:rsid w:val="001B166C"/>
    <w:rsid w:val="00245BD7"/>
    <w:rsid w:val="002760A4"/>
    <w:rsid w:val="00292E7D"/>
    <w:rsid w:val="002941C8"/>
    <w:rsid w:val="002C2B29"/>
    <w:rsid w:val="002E4E05"/>
    <w:rsid w:val="00323818"/>
    <w:rsid w:val="00344C05"/>
    <w:rsid w:val="00370502"/>
    <w:rsid w:val="00380C07"/>
    <w:rsid w:val="003D130B"/>
    <w:rsid w:val="003E247D"/>
    <w:rsid w:val="003F658C"/>
    <w:rsid w:val="003F6C78"/>
    <w:rsid w:val="0040249F"/>
    <w:rsid w:val="00432A58"/>
    <w:rsid w:val="00444ABE"/>
    <w:rsid w:val="004534B8"/>
    <w:rsid w:val="0045448E"/>
    <w:rsid w:val="004B6398"/>
    <w:rsid w:val="005154B9"/>
    <w:rsid w:val="005368CC"/>
    <w:rsid w:val="00543E32"/>
    <w:rsid w:val="005A38F5"/>
    <w:rsid w:val="005F2C86"/>
    <w:rsid w:val="006066A0"/>
    <w:rsid w:val="00611F2E"/>
    <w:rsid w:val="00655264"/>
    <w:rsid w:val="006763D4"/>
    <w:rsid w:val="007454A9"/>
    <w:rsid w:val="00757D65"/>
    <w:rsid w:val="007B0BD0"/>
    <w:rsid w:val="007B2251"/>
    <w:rsid w:val="007B313C"/>
    <w:rsid w:val="007C4104"/>
    <w:rsid w:val="007E2544"/>
    <w:rsid w:val="00826469"/>
    <w:rsid w:val="00831E3D"/>
    <w:rsid w:val="008465F1"/>
    <w:rsid w:val="008B79CF"/>
    <w:rsid w:val="008F4937"/>
    <w:rsid w:val="00991591"/>
    <w:rsid w:val="009922AC"/>
    <w:rsid w:val="009B5A39"/>
    <w:rsid w:val="009C3E06"/>
    <w:rsid w:val="009F7AF4"/>
    <w:rsid w:val="00A11945"/>
    <w:rsid w:val="00A26F7E"/>
    <w:rsid w:val="00A805BC"/>
    <w:rsid w:val="00AA016C"/>
    <w:rsid w:val="00AC7701"/>
    <w:rsid w:val="00B64831"/>
    <w:rsid w:val="00B749C8"/>
    <w:rsid w:val="00B978EC"/>
    <w:rsid w:val="00BA1A6B"/>
    <w:rsid w:val="00BB17D0"/>
    <w:rsid w:val="00BB4626"/>
    <w:rsid w:val="00C0000E"/>
    <w:rsid w:val="00C73600"/>
    <w:rsid w:val="00C806D0"/>
    <w:rsid w:val="00C86484"/>
    <w:rsid w:val="00CB4561"/>
    <w:rsid w:val="00CC2F45"/>
    <w:rsid w:val="00CC3D57"/>
    <w:rsid w:val="00D103C3"/>
    <w:rsid w:val="00D23749"/>
    <w:rsid w:val="00D7606E"/>
    <w:rsid w:val="00D967C7"/>
    <w:rsid w:val="00DC01D6"/>
    <w:rsid w:val="00DE067A"/>
    <w:rsid w:val="00DE667E"/>
    <w:rsid w:val="00DF144F"/>
    <w:rsid w:val="00DF3ACF"/>
    <w:rsid w:val="00E07C5E"/>
    <w:rsid w:val="00E16077"/>
    <w:rsid w:val="00E24711"/>
    <w:rsid w:val="00E72AE7"/>
    <w:rsid w:val="00E8275B"/>
    <w:rsid w:val="00E940D6"/>
    <w:rsid w:val="00ED20D0"/>
    <w:rsid w:val="00F12AA6"/>
    <w:rsid w:val="00FA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45BA"/>
  <w15:chartTrackingRefBased/>
  <w15:docId w15:val="{5AE0AD34-3F75-4FDC-91D1-DDC3B618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77"/>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967C7"/>
    <w:pPr>
      <w:spacing w:after="200"/>
      <w:jc w:val="center"/>
    </w:pPr>
    <w:rPr>
      <w:rFonts w:cs="Calibri"/>
      <w:b/>
      <w:iCs/>
      <w:color w:val="000000" w:themeColor="text1"/>
      <w:szCs w:val="18"/>
    </w:rPr>
  </w:style>
  <w:style w:type="paragraph" w:styleId="ListParagraph">
    <w:name w:val="List Paragraph"/>
    <w:basedOn w:val="Normal"/>
    <w:uiPriority w:val="34"/>
    <w:qFormat/>
    <w:rsid w:val="00D7606E"/>
    <w:pPr>
      <w:ind w:left="720"/>
      <w:contextualSpacing/>
    </w:pPr>
  </w:style>
  <w:style w:type="table" w:styleId="TableGrid">
    <w:name w:val="Table Grid"/>
    <w:basedOn w:val="TableNormal"/>
    <w:uiPriority w:val="39"/>
    <w:rsid w:val="0032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07B32-E2BC-4557-9A8F-048CB7C7283B}"/>
</file>

<file path=customXml/itemProps2.xml><?xml version="1.0" encoding="utf-8"?>
<ds:datastoreItem xmlns:ds="http://schemas.openxmlformats.org/officeDocument/2006/customXml" ds:itemID="{E66FACF9-825C-4F24-BF74-8F7817411DEA}"/>
</file>

<file path=customXml/itemProps3.xml><?xml version="1.0" encoding="utf-8"?>
<ds:datastoreItem xmlns:ds="http://schemas.openxmlformats.org/officeDocument/2006/customXml" ds:itemID="{A76EDEFB-7A9E-4CC5-8E6C-A10233EBFD1D}"/>
</file>

<file path=docProps/app.xml><?xml version="1.0" encoding="utf-8"?>
<Properties xmlns="http://schemas.openxmlformats.org/officeDocument/2006/extended-properties" xmlns:vt="http://schemas.openxmlformats.org/officeDocument/2006/docPropsVTypes">
  <Template>Normal</Template>
  <TotalTime>7</TotalTime>
  <Pages>3</Pages>
  <Words>785</Words>
  <Characters>4479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MTAS</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for Premise Identification</dc:title>
  <dc:subject>Sample Ordinance for Premise Identification</dc:subject>
  <dc:creator>Wolf, Dennis (Dennis Wolf)</dc:creator>
  <cp:keywords>Sample Ordinance for Premise Identification</cp:keywords>
  <dc:description/>
  <cp:lastModifiedBy>McMillen, Dawn Marie</cp:lastModifiedBy>
  <cp:revision>2</cp:revision>
  <dcterms:created xsi:type="dcterms:W3CDTF">2021-05-05T20:06:00Z</dcterms:created>
  <dcterms:modified xsi:type="dcterms:W3CDTF">2021-05-05T20:06:00Z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