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5ABC" w14:textId="77777777" w:rsidR="00D16441" w:rsidRPr="00E4191B" w:rsidRDefault="00D16441">
      <w:pPr>
        <w:rPr>
          <w:rFonts w:ascii="Gotham Book" w:hAnsi="Gotham Book"/>
          <w:sz w:val="22"/>
          <w:szCs w:val="22"/>
        </w:rPr>
      </w:pPr>
    </w:p>
    <w:p w14:paraId="4471A826" w14:textId="2E2ADF68" w:rsidR="00FA2C14" w:rsidRPr="00E4191B" w:rsidRDefault="00FA2C14" w:rsidP="00FA2C14">
      <w:pPr>
        <w:outlineLvl w:val="0"/>
        <w:rPr>
          <w:rFonts w:ascii="Gotham Book" w:hAnsi="Gotham Book"/>
          <w:sz w:val="22"/>
          <w:szCs w:val="22"/>
        </w:rPr>
      </w:pPr>
      <w:r w:rsidRPr="00E4191B">
        <w:rPr>
          <w:rFonts w:ascii="Gotham Book" w:hAnsi="Gotham Book"/>
          <w:b/>
          <w:bCs/>
          <w:sz w:val="22"/>
          <w:szCs w:val="22"/>
        </w:rPr>
        <w:t>From:</w:t>
      </w:r>
      <w:r w:rsidRPr="00E4191B">
        <w:rPr>
          <w:rFonts w:ascii="Gotham Book" w:hAnsi="Gotham Book"/>
          <w:sz w:val="22"/>
          <w:szCs w:val="22"/>
        </w:rPr>
        <w:t xml:space="preserve"> </w:t>
      </w:r>
      <w:r w:rsidR="008C4072" w:rsidRPr="00E4191B">
        <w:rPr>
          <w:rFonts w:ascii="Gotham Book" w:hAnsi="Gotham Book"/>
          <w:sz w:val="22"/>
          <w:szCs w:val="22"/>
        </w:rPr>
        <w:tab/>
        <w:t>Elisha Hodge</w:t>
      </w:r>
      <w:r w:rsidR="000B51F6" w:rsidRPr="00E4191B">
        <w:rPr>
          <w:rFonts w:ascii="Gotham Book" w:hAnsi="Gotham Book"/>
          <w:sz w:val="22"/>
          <w:szCs w:val="22"/>
        </w:rPr>
        <w:t>, MTAS Legal Consultant</w:t>
      </w:r>
      <w:r w:rsidRPr="00E4191B">
        <w:rPr>
          <w:rFonts w:ascii="Gotham Book" w:hAnsi="Gotham Book"/>
          <w:sz w:val="22"/>
          <w:szCs w:val="22"/>
        </w:rPr>
        <w:br/>
      </w:r>
      <w:r w:rsidRPr="00E4191B">
        <w:rPr>
          <w:rFonts w:ascii="Gotham Book" w:hAnsi="Gotham Book"/>
          <w:b/>
          <w:bCs/>
          <w:sz w:val="22"/>
          <w:szCs w:val="22"/>
        </w:rPr>
        <w:t>Sent:</w:t>
      </w:r>
      <w:r w:rsidRPr="00E4191B">
        <w:rPr>
          <w:rFonts w:ascii="Gotham Book" w:hAnsi="Gotham Book"/>
          <w:sz w:val="22"/>
          <w:szCs w:val="22"/>
        </w:rPr>
        <w:t xml:space="preserve"> </w:t>
      </w:r>
      <w:r w:rsidR="008C4072" w:rsidRPr="00E4191B">
        <w:rPr>
          <w:rFonts w:ascii="Gotham Book" w:hAnsi="Gotham Book"/>
          <w:sz w:val="22"/>
          <w:szCs w:val="22"/>
        </w:rPr>
        <w:tab/>
      </w:r>
      <w:r w:rsidR="008C4072" w:rsidRPr="00E4191B">
        <w:rPr>
          <w:rFonts w:ascii="Gotham Book" w:hAnsi="Gotham Book"/>
          <w:sz w:val="22"/>
          <w:szCs w:val="22"/>
        </w:rPr>
        <w:tab/>
      </w:r>
      <w:r w:rsidRPr="00E4191B">
        <w:rPr>
          <w:rFonts w:ascii="Gotham Book" w:hAnsi="Gotham Book"/>
          <w:sz w:val="22"/>
          <w:szCs w:val="22"/>
        </w:rPr>
        <w:t xml:space="preserve">August 5, </w:t>
      </w:r>
      <w:r w:rsidR="000B51F6" w:rsidRPr="00E4191B">
        <w:rPr>
          <w:rFonts w:ascii="Gotham Book" w:hAnsi="Gotham Book"/>
          <w:sz w:val="22"/>
          <w:szCs w:val="22"/>
        </w:rPr>
        <w:t>2022</w:t>
      </w:r>
      <w:r w:rsidRPr="00E4191B">
        <w:rPr>
          <w:rFonts w:ascii="Gotham Book" w:hAnsi="Gotham Book"/>
          <w:sz w:val="22"/>
          <w:szCs w:val="22"/>
        </w:rPr>
        <w:br/>
      </w:r>
      <w:r w:rsidRPr="00E4191B">
        <w:rPr>
          <w:rFonts w:ascii="Gotham Book" w:hAnsi="Gotham Book"/>
          <w:b/>
          <w:bCs/>
          <w:sz w:val="22"/>
          <w:szCs w:val="22"/>
        </w:rPr>
        <w:t>Subject:</w:t>
      </w:r>
      <w:r w:rsidRPr="00E4191B">
        <w:rPr>
          <w:rFonts w:ascii="Gotham Book" w:hAnsi="Gotham Book"/>
          <w:sz w:val="22"/>
          <w:szCs w:val="22"/>
        </w:rPr>
        <w:t xml:space="preserve"> </w:t>
      </w:r>
      <w:r w:rsidR="008C4072" w:rsidRPr="00E4191B">
        <w:rPr>
          <w:rFonts w:ascii="Gotham Book" w:hAnsi="Gotham Book"/>
          <w:sz w:val="22"/>
          <w:szCs w:val="22"/>
        </w:rPr>
        <w:tab/>
      </w:r>
      <w:r w:rsidRPr="00E4191B">
        <w:rPr>
          <w:rFonts w:ascii="Gotham Book" w:hAnsi="Gotham Book"/>
          <w:sz w:val="22"/>
          <w:szCs w:val="22"/>
        </w:rPr>
        <w:t>Contraction of City Limits</w:t>
      </w:r>
    </w:p>
    <w:p w14:paraId="17368057" w14:textId="77777777" w:rsidR="008A143B" w:rsidRPr="00E4191B" w:rsidRDefault="008A143B" w:rsidP="00FA2C14">
      <w:pPr>
        <w:outlineLvl w:val="0"/>
        <w:rPr>
          <w:rFonts w:ascii="Gotham Book" w:hAnsi="Gotham Book"/>
          <w:sz w:val="22"/>
          <w:szCs w:val="22"/>
        </w:rPr>
      </w:pPr>
    </w:p>
    <w:p w14:paraId="3D462ED8" w14:textId="63713370" w:rsidR="008A143B" w:rsidRPr="00E4191B" w:rsidRDefault="008A143B" w:rsidP="008A143B">
      <w:pPr>
        <w:pBdr>
          <w:bottom w:val="single" w:sz="4" w:space="1" w:color="auto"/>
        </w:pBdr>
        <w:outlineLvl w:val="0"/>
        <w:rPr>
          <w:rFonts w:ascii="Gotham Book" w:hAnsi="Gotham Book"/>
          <w:sz w:val="22"/>
          <w:szCs w:val="22"/>
        </w:rPr>
      </w:pPr>
      <w:r w:rsidRPr="00E4191B">
        <w:rPr>
          <w:rFonts w:ascii="Gotham Book" w:hAnsi="Gotham Book"/>
          <w:sz w:val="22"/>
          <w:szCs w:val="22"/>
        </w:rPr>
        <w:t>Via Email</w:t>
      </w:r>
    </w:p>
    <w:p w14:paraId="574C82C9" w14:textId="77777777" w:rsidR="00FA2C14" w:rsidRPr="00E4191B" w:rsidRDefault="00FA2C14" w:rsidP="00FA2C14">
      <w:pPr>
        <w:rPr>
          <w:rFonts w:ascii="Gotham Book" w:hAnsi="Gotham Book"/>
          <w:sz w:val="22"/>
          <w:szCs w:val="22"/>
        </w:rPr>
      </w:pPr>
    </w:p>
    <w:p w14:paraId="733F3AF1" w14:textId="77777777" w:rsidR="00E4191B" w:rsidRDefault="00E4191B" w:rsidP="00FA2C14">
      <w:pPr>
        <w:rPr>
          <w:rFonts w:ascii="Gotham Book" w:hAnsi="Gotham Book"/>
          <w:sz w:val="22"/>
          <w:szCs w:val="22"/>
        </w:rPr>
      </w:pPr>
    </w:p>
    <w:p w14:paraId="64F18833" w14:textId="3DC96BF4" w:rsidR="00FA2C14" w:rsidRPr="00E4191B" w:rsidRDefault="00FA2C14" w:rsidP="00FA2C14">
      <w:pPr>
        <w:rPr>
          <w:rFonts w:ascii="Gotham Book" w:hAnsi="Gotham Book"/>
          <w:sz w:val="22"/>
          <w:szCs w:val="22"/>
        </w:rPr>
      </w:pPr>
      <w:r w:rsidRPr="00E4191B">
        <w:rPr>
          <w:rFonts w:ascii="Gotham Book" w:hAnsi="Gotham Book"/>
          <w:sz w:val="22"/>
          <w:szCs w:val="22"/>
        </w:rPr>
        <w:t xml:space="preserve">You have asked the proper procedure for moving forward with the contraction or deannexation of property within the </w:t>
      </w:r>
      <w:r w:rsidR="00AD4F05" w:rsidRPr="00E4191B">
        <w:rPr>
          <w:rFonts w:ascii="Gotham Book" w:hAnsi="Gotham Book"/>
          <w:sz w:val="22"/>
          <w:szCs w:val="22"/>
        </w:rPr>
        <w:t>town’s</w:t>
      </w:r>
      <w:r w:rsidRPr="00E4191B">
        <w:rPr>
          <w:rFonts w:ascii="Gotham Book" w:hAnsi="Gotham Book"/>
          <w:sz w:val="22"/>
          <w:szCs w:val="22"/>
        </w:rPr>
        <w:t xml:space="preserve"> geographical boundaries.  </w:t>
      </w:r>
      <w:r w:rsidRPr="00E4191B">
        <w:rPr>
          <w:rFonts w:ascii="Gotham Book" w:hAnsi="Gotham Book"/>
          <w:sz w:val="22"/>
          <w:szCs w:val="22"/>
          <w:u w:val="single"/>
        </w:rPr>
        <w:t>Tennessee Code Annotated</w:t>
      </w:r>
      <w:r w:rsidRPr="00E4191B">
        <w:rPr>
          <w:rFonts w:ascii="Gotham Book" w:hAnsi="Gotham Book"/>
          <w:sz w:val="22"/>
          <w:szCs w:val="22"/>
        </w:rPr>
        <w:t xml:space="preserve"> </w:t>
      </w:r>
      <w:r w:rsidR="00334A59" w:rsidRPr="00E4191B">
        <w:rPr>
          <w:rFonts w:ascii="Gotham Book" w:hAnsi="Gotham Book" w:cstheme="minorHAnsi"/>
          <w:sz w:val="22"/>
          <w:szCs w:val="22"/>
        </w:rPr>
        <w:t>Section</w:t>
      </w:r>
      <w:r w:rsidRPr="00E4191B">
        <w:rPr>
          <w:rFonts w:ascii="Gotham Book" w:hAnsi="Gotham Book"/>
          <w:sz w:val="22"/>
          <w:szCs w:val="22"/>
        </w:rPr>
        <w:t xml:space="preserve"> 6-51-201 provides two methods for the deannexation of property within a municipality’s geographical boundaries. </w:t>
      </w:r>
      <w:r w:rsidRPr="00E4191B">
        <w:rPr>
          <w:rFonts w:ascii="Gotham Book" w:hAnsi="Gotham Book"/>
          <w:sz w:val="22"/>
          <w:szCs w:val="22"/>
          <w:u w:val="single"/>
        </w:rPr>
        <w:t>Tennessee Code Annotated</w:t>
      </w:r>
      <w:r w:rsidRPr="00E4191B">
        <w:rPr>
          <w:rFonts w:ascii="Gotham Book" w:hAnsi="Gotham Book"/>
          <w:sz w:val="22"/>
          <w:szCs w:val="22"/>
        </w:rPr>
        <w:t xml:space="preserve"> </w:t>
      </w:r>
      <w:r w:rsidR="00334A59" w:rsidRPr="00E4191B">
        <w:rPr>
          <w:rFonts w:ascii="Gotham Book" w:hAnsi="Gotham Book"/>
          <w:sz w:val="22"/>
          <w:szCs w:val="22"/>
        </w:rPr>
        <w:t>Section</w:t>
      </w:r>
      <w:r w:rsidRPr="00E4191B">
        <w:rPr>
          <w:rFonts w:ascii="Gotham Book" w:hAnsi="Gotham Book"/>
          <w:sz w:val="22"/>
          <w:szCs w:val="22"/>
        </w:rPr>
        <w:t xml:space="preserve"> 6-51-201(a) provides the first method to deannex property and it reads, “</w:t>
      </w:r>
      <w:r w:rsidRPr="00E4191B">
        <w:rPr>
          <w:rFonts w:ascii="Gotham Book" w:hAnsi="Gotham Book"/>
          <w:color w:val="000000"/>
          <w:sz w:val="22"/>
          <w:szCs w:val="22"/>
          <w:shd w:val="clear" w:color="auto" w:fill="FFFFFF"/>
        </w:rPr>
        <w:t xml:space="preserve">Any incorporated city or town, whether it was incorporated by general or special act, may contract its limits within any given territory; </w:t>
      </w:r>
      <w:r w:rsidRPr="00E4191B">
        <w:rPr>
          <w:rFonts w:ascii="Gotham Book" w:hAnsi="Gotham Book"/>
          <w:b/>
          <w:bCs/>
          <w:color w:val="000000"/>
          <w:sz w:val="22"/>
          <w:szCs w:val="22"/>
          <w:shd w:val="clear" w:color="auto" w:fill="FFFFFF"/>
        </w:rPr>
        <w:t xml:space="preserve">provided, that three fourths </w:t>
      </w:r>
      <w:proofErr w:type="gramStart"/>
      <w:r w:rsidRPr="00E4191B">
        <w:rPr>
          <w:rFonts w:ascii="Gotham Book" w:hAnsi="Gotham Book"/>
          <w:b/>
          <w:bCs/>
          <w:color w:val="000000"/>
          <w:sz w:val="22"/>
          <w:szCs w:val="22"/>
          <w:shd w:val="clear" w:color="auto" w:fill="FFFFFF"/>
        </w:rPr>
        <w:t>( ¾</w:t>
      </w:r>
      <w:proofErr w:type="gramEnd"/>
      <w:r w:rsidRPr="00E4191B">
        <w:rPr>
          <w:rFonts w:ascii="Gotham Book" w:hAnsi="Gotham Book"/>
          <w:b/>
          <w:bCs/>
          <w:color w:val="000000"/>
          <w:sz w:val="22"/>
          <w:szCs w:val="22"/>
          <w:shd w:val="clear" w:color="auto" w:fill="FFFFFF"/>
        </w:rPr>
        <w:t xml:space="preserve"> ) of the qualified voters voting in an election thereon assent thereto</w:t>
      </w:r>
      <w:r w:rsidRPr="00E4191B">
        <w:rPr>
          <w:rFonts w:ascii="Gotham Book" w:hAnsi="Gotham Book"/>
          <w:color w:val="000000"/>
          <w:sz w:val="22"/>
          <w:szCs w:val="22"/>
          <w:shd w:val="clear" w:color="auto" w:fill="FFFFFF"/>
        </w:rPr>
        <w:t xml:space="preserve">. (Emphasis mine.) Any referendum held pursuant to </w:t>
      </w:r>
      <w:r w:rsidRPr="00E4191B">
        <w:rPr>
          <w:rFonts w:ascii="Gotham Book" w:hAnsi="Gotham Book"/>
          <w:sz w:val="22"/>
          <w:szCs w:val="22"/>
          <w:u w:val="single"/>
        </w:rPr>
        <w:t>Tennessee Code Annotated</w:t>
      </w:r>
      <w:r w:rsidRPr="00E4191B">
        <w:rPr>
          <w:rFonts w:ascii="Gotham Book" w:hAnsi="Gotham Book"/>
          <w:sz w:val="22"/>
          <w:szCs w:val="22"/>
        </w:rPr>
        <w:t xml:space="preserve"> </w:t>
      </w:r>
      <w:r w:rsidR="00334A59" w:rsidRPr="00E4191B">
        <w:rPr>
          <w:rFonts w:ascii="Gotham Book" w:hAnsi="Gotham Book"/>
          <w:sz w:val="22"/>
          <w:szCs w:val="22"/>
        </w:rPr>
        <w:t>Section</w:t>
      </w:r>
      <w:r w:rsidRPr="00E4191B">
        <w:rPr>
          <w:rFonts w:ascii="Gotham Book" w:hAnsi="Gotham Book"/>
          <w:sz w:val="22"/>
          <w:szCs w:val="22"/>
        </w:rPr>
        <w:t xml:space="preserve"> 6-51-201(a) must be initiated by the passage of an ordinance by the municipality’s governing body.</w:t>
      </w:r>
    </w:p>
    <w:p w14:paraId="2102F162" w14:textId="77777777" w:rsidR="00FA2C14" w:rsidRPr="00E4191B" w:rsidRDefault="00FA2C14" w:rsidP="00FA2C14">
      <w:pPr>
        <w:rPr>
          <w:rFonts w:ascii="Gotham Book" w:hAnsi="Gotham Book"/>
          <w:sz w:val="22"/>
          <w:szCs w:val="22"/>
        </w:rPr>
      </w:pPr>
    </w:p>
    <w:p w14:paraId="08F302D0" w14:textId="2F6A4647" w:rsidR="00FA2C14" w:rsidRPr="00E4191B" w:rsidRDefault="00FA2C14" w:rsidP="00FA2C14">
      <w:pPr>
        <w:rPr>
          <w:rFonts w:ascii="Gotham Book" w:hAnsi="Gotham Book"/>
          <w:sz w:val="22"/>
          <w:szCs w:val="22"/>
        </w:rPr>
      </w:pPr>
      <w:r w:rsidRPr="00E4191B">
        <w:rPr>
          <w:rFonts w:ascii="Gotham Book" w:hAnsi="Gotham Book"/>
          <w:sz w:val="22"/>
          <w:szCs w:val="22"/>
        </w:rPr>
        <w:t xml:space="preserve">The second method of deannexing property within a municipality is found in </w:t>
      </w:r>
      <w:r w:rsidRPr="00E4191B">
        <w:rPr>
          <w:rFonts w:ascii="Gotham Book" w:hAnsi="Gotham Book"/>
          <w:sz w:val="22"/>
          <w:szCs w:val="22"/>
          <w:u w:val="single"/>
        </w:rPr>
        <w:t>Tennessee Code Annotated</w:t>
      </w:r>
      <w:r w:rsidRPr="00E4191B">
        <w:rPr>
          <w:rFonts w:ascii="Gotham Book" w:hAnsi="Gotham Book"/>
          <w:sz w:val="22"/>
          <w:szCs w:val="22"/>
        </w:rPr>
        <w:t xml:space="preserve"> </w:t>
      </w:r>
      <w:r w:rsidR="00334A59" w:rsidRPr="00E4191B">
        <w:rPr>
          <w:rFonts w:ascii="Gotham Book" w:hAnsi="Gotham Book"/>
          <w:sz w:val="22"/>
          <w:szCs w:val="22"/>
        </w:rPr>
        <w:t>Section</w:t>
      </w:r>
      <w:r w:rsidRPr="00E4191B">
        <w:rPr>
          <w:rFonts w:ascii="Gotham Book" w:hAnsi="Gotham Book"/>
          <w:sz w:val="22"/>
          <w:szCs w:val="22"/>
        </w:rPr>
        <w:t xml:space="preserve"> 6-51-201(b) which reads:</w:t>
      </w:r>
    </w:p>
    <w:p w14:paraId="6DBFA09B" w14:textId="77777777" w:rsidR="00FA2C14" w:rsidRPr="00E4191B" w:rsidRDefault="00FA2C14" w:rsidP="00FA2C14">
      <w:pPr>
        <w:rPr>
          <w:rFonts w:ascii="Gotham Book" w:hAnsi="Gotham Book"/>
          <w:sz w:val="22"/>
          <w:szCs w:val="22"/>
        </w:rPr>
      </w:pPr>
    </w:p>
    <w:p w14:paraId="6B81393E" w14:textId="77777777" w:rsidR="00FA2C14" w:rsidRPr="00E4191B" w:rsidRDefault="00FA2C14" w:rsidP="00FA2C14">
      <w:pPr>
        <w:pStyle w:val="ListParagraph"/>
        <w:numPr>
          <w:ilvl w:val="0"/>
          <w:numId w:val="1"/>
        </w:numPr>
        <w:shd w:val="clear" w:color="auto" w:fill="FFFFFF"/>
        <w:textAlignment w:val="baseline"/>
        <w:rPr>
          <w:rFonts w:ascii="Gotham Book" w:eastAsia="Times New Roman" w:hAnsi="Gotham Book"/>
          <w:b/>
          <w:bCs/>
          <w:color w:val="000000"/>
        </w:rPr>
      </w:pPr>
      <w:r w:rsidRPr="00E4191B">
        <w:rPr>
          <w:rFonts w:ascii="Gotham Book" w:eastAsia="Times New Roman" w:hAnsi="Gotham Book"/>
          <w:color w:val="000000"/>
          <w:bdr w:val="none" w:sz="0" w:space="0" w:color="auto" w:frame="1"/>
          <w:shd w:val="clear" w:color="auto" w:fill="FFFFFF"/>
        </w:rPr>
        <w:t xml:space="preserve">Any incorporated city or town, whether it was incorporated by general or special act, </w:t>
      </w:r>
      <w:r w:rsidRPr="00E4191B">
        <w:rPr>
          <w:rFonts w:ascii="Gotham Book" w:eastAsia="Times New Roman" w:hAnsi="Gotham Book"/>
          <w:b/>
          <w:bCs/>
          <w:color w:val="000000"/>
          <w:bdr w:val="none" w:sz="0" w:space="0" w:color="auto" w:frame="1"/>
          <w:shd w:val="clear" w:color="auto" w:fill="FFFFFF"/>
        </w:rPr>
        <w:t>may after notice and public hearing, contract its limits within any given territory upon its own initiative by ordinance when it appears in the best interest of the affected territory.</w:t>
      </w:r>
    </w:p>
    <w:p w14:paraId="577DDEC2" w14:textId="77777777" w:rsidR="00FA2C14" w:rsidRPr="00E4191B" w:rsidRDefault="00FA2C14" w:rsidP="00FA2C14">
      <w:pPr>
        <w:shd w:val="clear" w:color="auto" w:fill="FFFFFF"/>
        <w:textAlignment w:val="baseline"/>
        <w:rPr>
          <w:rFonts w:ascii="Gotham Book" w:hAnsi="Gotham Book"/>
          <w:color w:val="000000"/>
          <w:sz w:val="22"/>
          <w:szCs w:val="22"/>
          <w:bdr w:val="none" w:sz="0" w:space="0" w:color="auto" w:frame="1"/>
          <w:shd w:val="clear" w:color="auto" w:fill="FFFFFF"/>
        </w:rPr>
      </w:pPr>
    </w:p>
    <w:p w14:paraId="12D78D39" w14:textId="5BB68B3A" w:rsidR="00FA2C14" w:rsidRPr="00E4191B" w:rsidRDefault="00FA2C14" w:rsidP="00A61FEE">
      <w:pPr>
        <w:pStyle w:val="ListParagraph"/>
        <w:numPr>
          <w:ilvl w:val="0"/>
          <w:numId w:val="1"/>
        </w:numPr>
        <w:shd w:val="clear" w:color="auto" w:fill="FFFFFF"/>
        <w:textAlignment w:val="baseline"/>
        <w:rPr>
          <w:rFonts w:ascii="Gotham Book" w:eastAsia="Times New Roman" w:hAnsi="Gotham Book"/>
          <w:b/>
          <w:bCs/>
          <w:color w:val="000000"/>
          <w:bdr w:val="none" w:sz="0" w:space="0" w:color="auto" w:frame="1"/>
          <w:shd w:val="clear" w:color="auto" w:fill="FFFFFF"/>
        </w:rPr>
      </w:pPr>
      <w:r w:rsidRPr="00E4191B">
        <w:rPr>
          <w:rFonts w:ascii="Gotham Book" w:eastAsia="Times New Roman" w:hAnsi="Gotham Book"/>
          <w:b/>
          <w:bCs/>
          <w:color w:val="000000"/>
          <w:bdr w:val="none" w:sz="0" w:space="0" w:color="auto" w:frame="1"/>
          <w:shd w:val="clear" w:color="auto" w:fill="FFFFFF"/>
        </w:rPr>
        <w:t xml:space="preserve">Such contraction of limits within any territory shall not occur unless </w:t>
      </w:r>
      <w:proofErr w:type="gramStart"/>
      <w:r w:rsidRPr="00E4191B">
        <w:rPr>
          <w:rFonts w:ascii="Gotham Book" w:eastAsia="Times New Roman" w:hAnsi="Gotham Book"/>
          <w:b/>
          <w:bCs/>
          <w:color w:val="000000"/>
          <w:bdr w:val="none" w:sz="0" w:space="0" w:color="auto" w:frame="1"/>
          <w:shd w:val="clear" w:color="auto" w:fill="FFFFFF"/>
        </w:rPr>
        <w:t>a majority of</w:t>
      </w:r>
      <w:proofErr w:type="gramEnd"/>
      <w:r w:rsidRPr="00E4191B">
        <w:rPr>
          <w:rFonts w:ascii="Gotham Book" w:eastAsia="Times New Roman" w:hAnsi="Gotham Book"/>
          <w:b/>
          <w:bCs/>
          <w:color w:val="000000"/>
          <w:bdr w:val="none" w:sz="0" w:space="0" w:color="auto" w:frame="1"/>
          <w:shd w:val="clear" w:color="auto" w:fill="FFFFFF"/>
        </w:rPr>
        <w:t xml:space="preserve"> the total membership of the city legislative body approves such contraction.</w:t>
      </w:r>
    </w:p>
    <w:p w14:paraId="725187E4" w14:textId="77777777" w:rsidR="00FA2C14" w:rsidRPr="00E4191B" w:rsidRDefault="00FA2C14" w:rsidP="00A61FEE">
      <w:pPr>
        <w:pStyle w:val="ListParagraph"/>
        <w:shd w:val="clear" w:color="auto" w:fill="FFFFFF"/>
        <w:ind w:left="1080"/>
        <w:textAlignment w:val="baseline"/>
        <w:rPr>
          <w:rFonts w:ascii="Gotham Book" w:eastAsia="Times New Roman" w:hAnsi="Gotham Book"/>
          <w:color w:val="000000"/>
          <w:bdr w:val="none" w:sz="0" w:space="0" w:color="auto" w:frame="1"/>
          <w:shd w:val="clear" w:color="auto" w:fill="FFFFFF"/>
        </w:rPr>
      </w:pPr>
    </w:p>
    <w:p w14:paraId="3CD71AE8" w14:textId="77777777" w:rsidR="00FA2C14" w:rsidRPr="00E4191B" w:rsidRDefault="00FA2C14" w:rsidP="00FA2C14">
      <w:pPr>
        <w:pStyle w:val="ListParagraph"/>
        <w:numPr>
          <w:ilvl w:val="0"/>
          <w:numId w:val="2"/>
        </w:numPr>
        <w:shd w:val="clear" w:color="auto" w:fill="FFFFFF"/>
        <w:textAlignment w:val="baseline"/>
        <w:rPr>
          <w:rFonts w:ascii="Gotham Book" w:eastAsia="Times New Roman" w:hAnsi="Gotham Book"/>
          <w:bdr w:val="none" w:sz="0" w:space="0" w:color="auto" w:frame="1"/>
          <w:shd w:val="clear" w:color="auto" w:fill="FFFFFF"/>
        </w:rPr>
      </w:pPr>
      <w:r w:rsidRPr="00E4191B">
        <w:rPr>
          <w:rFonts w:ascii="Gotham Book" w:eastAsia="Times New Roman" w:hAnsi="Gotham Book"/>
          <w:color w:val="000000"/>
          <w:bdr w:val="none" w:sz="0" w:space="0" w:color="auto" w:frame="1"/>
          <w:shd w:val="clear" w:color="auto" w:fill="FFFFFF"/>
        </w:rPr>
        <w:t xml:space="preserve">Such contraction of limits within any territory shall not occur if opposed by a majority of the voters residing within the area to be deannexed. The concurrence of a majority of the voters shall be presumed unless a petition objecting to deannexation signed by ten percent (10%) of the registered voters residing within the area proposed to be deannexed is filed with the city recorder within seventy-five (75) days following the final reading of the contraction ordinance. If such a petition is filed, a referendum shall be held at the next general election to ascertain the will of the voters residing in the area that the city proposes to deannex. The ballot shall provide a place where voters may vote for or against deannexation by the city. If </w:t>
      </w:r>
      <w:proofErr w:type="gramStart"/>
      <w:r w:rsidRPr="00E4191B">
        <w:rPr>
          <w:rFonts w:ascii="Gotham Book" w:eastAsia="Times New Roman" w:hAnsi="Gotham Book"/>
          <w:color w:val="000000"/>
          <w:bdr w:val="none" w:sz="0" w:space="0" w:color="auto" w:frame="1"/>
          <w:shd w:val="clear" w:color="auto" w:fill="FFFFFF"/>
        </w:rPr>
        <w:t>a majority of</w:t>
      </w:r>
      <w:proofErr w:type="gramEnd"/>
      <w:r w:rsidRPr="00E4191B">
        <w:rPr>
          <w:rFonts w:ascii="Gotham Book" w:eastAsia="Times New Roman" w:hAnsi="Gotham Book"/>
          <w:color w:val="000000"/>
          <w:bdr w:val="none" w:sz="0" w:space="0" w:color="auto" w:frame="1"/>
          <w:shd w:val="clear" w:color="auto" w:fill="FFFFFF"/>
        </w:rPr>
        <w:t xml:space="preserve"> those voting in the referendum fail to vote for the deannexation, the contraction ordinance shall be void and the matter may not be considered again for two (2) years. If a majority vote for deannexation, the ordinance shall become effective upon certification of the result of the referendum. (Emphasis mine)</w:t>
      </w:r>
    </w:p>
    <w:p w14:paraId="23301179" w14:textId="77777777" w:rsidR="00FA2C14" w:rsidRPr="00E4191B" w:rsidRDefault="00FA2C14" w:rsidP="00FA2C14">
      <w:pPr>
        <w:rPr>
          <w:rFonts w:ascii="Gotham Book" w:hAnsi="Gotham Book"/>
          <w:sz w:val="22"/>
          <w:szCs w:val="22"/>
        </w:rPr>
      </w:pPr>
    </w:p>
    <w:p w14:paraId="061B049C" w14:textId="1A7064A1" w:rsidR="00FA2C14" w:rsidRPr="00E4191B" w:rsidRDefault="00FA2C14" w:rsidP="00FA2C14">
      <w:pPr>
        <w:rPr>
          <w:rFonts w:ascii="Gotham Book" w:hAnsi="Gotham Book"/>
          <w:sz w:val="22"/>
          <w:szCs w:val="22"/>
        </w:rPr>
      </w:pPr>
      <w:r w:rsidRPr="00E4191B">
        <w:rPr>
          <w:rFonts w:ascii="Gotham Book" w:hAnsi="Gotham Book"/>
          <w:sz w:val="22"/>
          <w:szCs w:val="22"/>
        </w:rPr>
        <w:lastRenderedPageBreak/>
        <w:t xml:space="preserve">Based upon the language above, the Board of Commissioners for </w:t>
      </w:r>
      <w:r w:rsidR="00AD4F05" w:rsidRPr="00E4191B">
        <w:rPr>
          <w:rFonts w:ascii="Gotham Book" w:hAnsi="Gotham Book"/>
          <w:sz w:val="22"/>
          <w:szCs w:val="22"/>
        </w:rPr>
        <w:t>your town</w:t>
      </w:r>
      <w:r w:rsidRPr="00E4191B">
        <w:rPr>
          <w:rFonts w:ascii="Gotham Book" w:hAnsi="Gotham Book"/>
          <w:sz w:val="22"/>
          <w:szCs w:val="22"/>
        </w:rPr>
        <w:t xml:space="preserve"> may deannex the property described through the passage of an ordinance, by </w:t>
      </w:r>
      <w:proofErr w:type="gramStart"/>
      <w:r w:rsidRPr="00E4191B">
        <w:rPr>
          <w:rFonts w:ascii="Gotham Book" w:hAnsi="Gotham Book"/>
          <w:sz w:val="22"/>
          <w:szCs w:val="22"/>
        </w:rPr>
        <w:t>a majority of</w:t>
      </w:r>
      <w:proofErr w:type="gramEnd"/>
      <w:r w:rsidRPr="00E4191B">
        <w:rPr>
          <w:rFonts w:ascii="Gotham Book" w:hAnsi="Gotham Book"/>
          <w:sz w:val="22"/>
          <w:szCs w:val="22"/>
        </w:rPr>
        <w:t xml:space="preserve"> the total membership of the governing body, after public notice is provided, a public hearing is held, and the governing body determines that the deannexation is in the best interest of the affected territory. The Board of Commissioners also has the option of passing a</w:t>
      </w:r>
      <w:r w:rsidR="008C4072" w:rsidRPr="00E4191B">
        <w:rPr>
          <w:rFonts w:ascii="Gotham Book" w:hAnsi="Gotham Book"/>
          <w:sz w:val="22"/>
          <w:szCs w:val="22"/>
        </w:rPr>
        <w:t>n</w:t>
      </w:r>
      <w:r w:rsidRPr="00E4191B">
        <w:rPr>
          <w:rFonts w:ascii="Gotham Book" w:hAnsi="Gotham Book"/>
          <w:sz w:val="22"/>
          <w:szCs w:val="22"/>
        </w:rPr>
        <w:t xml:space="preserve"> ordinance calling for a referendum on the deannexation question with the question then being decided by the voters. </w:t>
      </w:r>
    </w:p>
    <w:p w14:paraId="558C8A3F" w14:textId="77777777" w:rsidR="00FA2C14" w:rsidRPr="00E4191B" w:rsidRDefault="00FA2C14" w:rsidP="00FA2C14">
      <w:pPr>
        <w:rPr>
          <w:rFonts w:ascii="Gotham Book" w:hAnsi="Gotham Book"/>
          <w:sz w:val="22"/>
          <w:szCs w:val="22"/>
        </w:rPr>
      </w:pPr>
    </w:p>
    <w:p w14:paraId="0BA067DC" w14:textId="77777777" w:rsidR="00FA2C14" w:rsidRPr="00E4191B" w:rsidRDefault="00FA2C14" w:rsidP="00FA2C14">
      <w:pPr>
        <w:rPr>
          <w:rFonts w:ascii="Gotham Book" w:hAnsi="Gotham Book"/>
          <w:sz w:val="22"/>
          <w:szCs w:val="22"/>
        </w:rPr>
      </w:pPr>
      <w:r w:rsidRPr="00E4191B">
        <w:rPr>
          <w:rFonts w:ascii="Gotham Book" w:hAnsi="Gotham Book"/>
          <w:sz w:val="22"/>
          <w:szCs w:val="22"/>
        </w:rPr>
        <w:t>Please let me know if you have other questions.</w:t>
      </w:r>
    </w:p>
    <w:p w14:paraId="2F2E3848" w14:textId="77777777" w:rsidR="00FA2C14" w:rsidRPr="00E4191B" w:rsidRDefault="00FA2C14" w:rsidP="00FA2C14">
      <w:pPr>
        <w:rPr>
          <w:rFonts w:ascii="Gotham Book" w:hAnsi="Gotham Book"/>
          <w:sz w:val="22"/>
          <w:szCs w:val="22"/>
        </w:rPr>
      </w:pPr>
      <w:r w:rsidRPr="00E4191B">
        <w:rPr>
          <w:rFonts w:ascii="Gotham Book" w:hAnsi="Gotham Book"/>
          <w:sz w:val="22"/>
          <w:szCs w:val="22"/>
        </w:rPr>
        <w:t xml:space="preserve">                </w:t>
      </w:r>
    </w:p>
    <w:p w14:paraId="1B31FC5F" w14:textId="77777777" w:rsidR="00FA2C14" w:rsidRPr="00E4191B" w:rsidRDefault="00FA2C14" w:rsidP="00FA2C14">
      <w:pPr>
        <w:rPr>
          <w:rFonts w:ascii="Gotham Book" w:hAnsi="Gotham Book"/>
          <w:sz w:val="22"/>
          <w:szCs w:val="22"/>
        </w:rPr>
      </w:pPr>
    </w:p>
    <w:p w14:paraId="2E2F657C" w14:textId="77777777" w:rsidR="00FA2C14" w:rsidRPr="00E4191B" w:rsidRDefault="00FA2C14">
      <w:pPr>
        <w:rPr>
          <w:rFonts w:ascii="Gotham Book" w:hAnsi="Gotham Book"/>
          <w:sz w:val="22"/>
          <w:szCs w:val="22"/>
        </w:rPr>
      </w:pPr>
    </w:p>
    <w:sectPr w:rsidR="00FA2C14" w:rsidRPr="00E4191B" w:rsidSect="00345DC1">
      <w:head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AC395" w14:textId="77777777" w:rsidR="000343E1" w:rsidRDefault="000343E1" w:rsidP="004F01FC">
      <w:r>
        <w:separator/>
      </w:r>
    </w:p>
  </w:endnote>
  <w:endnote w:type="continuationSeparator" w:id="0">
    <w:p w14:paraId="5814ED1F" w14:textId="77777777" w:rsidR="000343E1" w:rsidRDefault="000343E1" w:rsidP="004F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1E69" w14:textId="77777777" w:rsidR="000343E1" w:rsidRDefault="000343E1" w:rsidP="004F01FC">
      <w:r>
        <w:separator/>
      </w:r>
    </w:p>
  </w:footnote>
  <w:footnote w:type="continuationSeparator" w:id="0">
    <w:p w14:paraId="029E4982" w14:textId="77777777" w:rsidR="000343E1" w:rsidRDefault="000343E1" w:rsidP="004F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49FC" w14:textId="1BC81F32" w:rsidR="004F01FC" w:rsidRDefault="00EF078B">
    <w:pPr>
      <w:pStyle w:val="Header"/>
    </w:pPr>
    <w:r>
      <w:rPr>
        <w:noProof/>
      </w:rPr>
      <w:drawing>
        <wp:anchor distT="0" distB="0" distL="114300" distR="114300" simplePos="0" relativeHeight="251662336" behindDoc="1" locked="0" layoutInCell="1" allowOverlap="1" wp14:anchorId="0AAE0C02" wp14:editId="204F132D">
          <wp:simplePos x="0" y="0"/>
          <wp:positionH relativeFrom="column">
            <wp:posOffset>-901700</wp:posOffset>
          </wp:positionH>
          <wp:positionV relativeFrom="paragraph">
            <wp:posOffset>-444500</wp:posOffset>
          </wp:positionV>
          <wp:extent cx="7772400" cy="10058449"/>
          <wp:effectExtent l="0" t="0" r="0" b="0"/>
          <wp:wrapNone/>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40614"/>
    <w:multiLevelType w:val="hybridMultilevel"/>
    <w:tmpl w:val="8EB2E468"/>
    <w:lvl w:ilvl="0" w:tplc="8ED2887C">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DA6469E"/>
    <w:multiLevelType w:val="hybridMultilevel"/>
    <w:tmpl w:val="00E4A970"/>
    <w:lvl w:ilvl="0" w:tplc="C38EB444">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FC"/>
    <w:rsid w:val="000343E1"/>
    <w:rsid w:val="000B51F6"/>
    <w:rsid w:val="00182B31"/>
    <w:rsid w:val="00236205"/>
    <w:rsid w:val="00334A59"/>
    <w:rsid w:val="00345DC1"/>
    <w:rsid w:val="00372977"/>
    <w:rsid w:val="00377D69"/>
    <w:rsid w:val="00385168"/>
    <w:rsid w:val="004366C3"/>
    <w:rsid w:val="00480CD2"/>
    <w:rsid w:val="004B500A"/>
    <w:rsid w:val="004F01FC"/>
    <w:rsid w:val="00574D89"/>
    <w:rsid w:val="005B2379"/>
    <w:rsid w:val="0062264F"/>
    <w:rsid w:val="006F0BD1"/>
    <w:rsid w:val="007122DB"/>
    <w:rsid w:val="00713A4F"/>
    <w:rsid w:val="0073696A"/>
    <w:rsid w:val="0075577F"/>
    <w:rsid w:val="008A143B"/>
    <w:rsid w:val="008C4072"/>
    <w:rsid w:val="009138FE"/>
    <w:rsid w:val="00937383"/>
    <w:rsid w:val="00A06922"/>
    <w:rsid w:val="00A61FEE"/>
    <w:rsid w:val="00A91D93"/>
    <w:rsid w:val="00AA23D3"/>
    <w:rsid w:val="00AD4F05"/>
    <w:rsid w:val="00B13502"/>
    <w:rsid w:val="00B2327A"/>
    <w:rsid w:val="00B25712"/>
    <w:rsid w:val="00C126EF"/>
    <w:rsid w:val="00D0046E"/>
    <w:rsid w:val="00D16441"/>
    <w:rsid w:val="00D20B20"/>
    <w:rsid w:val="00D405F7"/>
    <w:rsid w:val="00D72331"/>
    <w:rsid w:val="00DB6C02"/>
    <w:rsid w:val="00E4191B"/>
    <w:rsid w:val="00E43461"/>
    <w:rsid w:val="00EF078B"/>
    <w:rsid w:val="00F8191A"/>
    <w:rsid w:val="00FA2C14"/>
    <w:rsid w:val="00FA4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E7FE8"/>
  <w15:chartTrackingRefBased/>
  <w15:docId w15:val="{9CFF5F02-2156-954A-8B76-E18E4A32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1FC"/>
    <w:pPr>
      <w:tabs>
        <w:tab w:val="center" w:pos="4680"/>
        <w:tab w:val="right" w:pos="9360"/>
      </w:tabs>
    </w:pPr>
  </w:style>
  <w:style w:type="character" w:customStyle="1" w:styleId="HeaderChar">
    <w:name w:val="Header Char"/>
    <w:basedOn w:val="DefaultParagraphFont"/>
    <w:link w:val="Header"/>
    <w:uiPriority w:val="99"/>
    <w:rsid w:val="004F01FC"/>
  </w:style>
  <w:style w:type="paragraph" w:styleId="Footer">
    <w:name w:val="footer"/>
    <w:basedOn w:val="Normal"/>
    <w:link w:val="FooterChar"/>
    <w:uiPriority w:val="99"/>
    <w:unhideWhenUsed/>
    <w:rsid w:val="004F01FC"/>
    <w:pPr>
      <w:tabs>
        <w:tab w:val="center" w:pos="4680"/>
        <w:tab w:val="right" w:pos="9360"/>
      </w:tabs>
    </w:pPr>
  </w:style>
  <w:style w:type="character" w:customStyle="1" w:styleId="FooterChar">
    <w:name w:val="Footer Char"/>
    <w:basedOn w:val="DefaultParagraphFont"/>
    <w:link w:val="Footer"/>
    <w:uiPriority w:val="99"/>
    <w:rsid w:val="004F01FC"/>
  </w:style>
  <w:style w:type="character" w:styleId="Hyperlink">
    <w:name w:val="Hyperlink"/>
    <w:basedOn w:val="DefaultParagraphFont"/>
    <w:uiPriority w:val="99"/>
    <w:semiHidden/>
    <w:unhideWhenUsed/>
    <w:rsid w:val="00FA2C14"/>
    <w:rPr>
      <w:color w:val="0563C1"/>
      <w:u w:val="single"/>
    </w:rPr>
  </w:style>
  <w:style w:type="paragraph" w:styleId="ListParagraph">
    <w:name w:val="List Paragraph"/>
    <w:basedOn w:val="Normal"/>
    <w:uiPriority w:val="34"/>
    <w:qFormat/>
    <w:rsid w:val="00FA2C14"/>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6" ma:contentTypeDescription="Create a new document." ma:contentTypeScope="" ma:versionID="988b671d334981baed84b93cb7b28f9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d4e9312665c261ec1b689016e0c627b2"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1bb94-00b8-41dc-b5c3-5188785fb6b6}" ma:internalName="TaxCatchAll" ma:showField="CatchAllData" ma:web="37a28615-bc28-475b-9539-951d8378f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fa274-bcfd-4415-81af-84aeeba0acc5">
      <Terms xmlns="http://schemas.microsoft.com/office/infopath/2007/PartnerControls"/>
    </lcf76f155ced4ddcb4097134ff3c332f>
    <TaxCatchAll xmlns="37a28615-bc28-475b-9539-951d8378f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C20E9-3914-4E87-9551-0558C800251A}"/>
</file>

<file path=customXml/itemProps2.xml><?xml version="1.0" encoding="utf-8"?>
<ds:datastoreItem xmlns:ds="http://schemas.openxmlformats.org/officeDocument/2006/customXml" ds:itemID="{50E61258-437A-48CE-AEF6-26CF6D46B679}">
  <ds:schemaRefs>
    <ds:schemaRef ds:uri="http://schemas.microsoft.com/office/2006/metadata/properties"/>
    <ds:schemaRef ds:uri="http://schemas.microsoft.com/office/infopath/2007/PartnerControls"/>
    <ds:schemaRef ds:uri="c85f06f4-81cd-4a9f-9e07-d9e635e88fa9"/>
    <ds:schemaRef ds:uri="b4ad8ab6-4a7f-404e-9f4b-a4f22f616bb4"/>
  </ds:schemaRefs>
</ds:datastoreItem>
</file>

<file path=customXml/itemProps3.xml><?xml version="1.0" encoding="utf-8"?>
<ds:datastoreItem xmlns:ds="http://schemas.openxmlformats.org/officeDocument/2006/customXml" ds:itemID="{73C67AD0-6D55-475C-889D-95DCC05B4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Keel-Blackmon, Kristy</dc:creator>
  <cp:keywords/>
  <dc:description/>
  <cp:lastModifiedBy>Adams-Obrien, Frances</cp:lastModifiedBy>
  <cp:revision>6</cp:revision>
  <dcterms:created xsi:type="dcterms:W3CDTF">2022-08-05T20:46:00Z</dcterms:created>
  <dcterms:modified xsi:type="dcterms:W3CDTF">2022-08-05T20:50:00Z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y fmtid="{D5CDD505-2E9C-101B-9397-08002B2CF9AE}" pid="3" name="MediaServiceImageTags">
    <vt:lpwstr/>
  </property>
</Properties>
</file>