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56" w:rsidRPr="0084472B" w:rsidRDefault="00494652">
      <w:pPr>
        <w:rPr>
          <w:sz w:val="22"/>
          <w:szCs w:val="22"/>
        </w:rPr>
      </w:pPr>
      <w:r w:rsidRPr="0084472B">
        <w:rPr>
          <w:sz w:val="22"/>
          <w:szCs w:val="22"/>
        </w:rPr>
        <w:t>Biosolids Sampling Plan</w:t>
      </w:r>
    </w:p>
    <w:p w:rsidR="00494652" w:rsidRPr="0084472B" w:rsidRDefault="00494652">
      <w:pPr>
        <w:rPr>
          <w:sz w:val="22"/>
          <w:szCs w:val="22"/>
        </w:rPr>
      </w:pPr>
    </w:p>
    <w:p w:rsidR="00494652" w:rsidRPr="0084472B" w:rsidRDefault="00494652">
      <w:pPr>
        <w:rPr>
          <w:sz w:val="22"/>
          <w:szCs w:val="22"/>
        </w:rPr>
      </w:pPr>
      <w:r w:rsidRPr="0084472B">
        <w:rPr>
          <w:sz w:val="22"/>
          <w:szCs w:val="22"/>
        </w:rPr>
        <w:t>Tennessee Rules and Regulations, 0400-40-15-.02 Table 1</w:t>
      </w:r>
    </w:p>
    <w:p w:rsidR="0091415C" w:rsidRPr="0084472B" w:rsidRDefault="0091415C">
      <w:pPr>
        <w:rPr>
          <w:sz w:val="22"/>
          <w:szCs w:val="22"/>
        </w:rPr>
      </w:pPr>
    </w:p>
    <w:p w:rsidR="0091415C" w:rsidRPr="0084472B" w:rsidRDefault="0091415C" w:rsidP="0091415C">
      <w:pPr>
        <w:jc w:val="center"/>
        <w:rPr>
          <w:sz w:val="22"/>
          <w:szCs w:val="22"/>
        </w:rPr>
      </w:pPr>
      <w:r w:rsidRPr="0084472B">
        <w:rPr>
          <w:sz w:val="22"/>
          <w:szCs w:val="22"/>
        </w:rPr>
        <w:t>Table 1</w:t>
      </w:r>
    </w:p>
    <w:p w:rsidR="0091415C" w:rsidRPr="0084472B" w:rsidRDefault="0091415C" w:rsidP="0091415C">
      <w:pPr>
        <w:jc w:val="center"/>
        <w:rPr>
          <w:sz w:val="22"/>
          <w:szCs w:val="22"/>
        </w:rPr>
      </w:pPr>
      <w:r w:rsidRPr="0084472B">
        <w:rPr>
          <w:sz w:val="22"/>
          <w:szCs w:val="22"/>
        </w:rPr>
        <w:t>Frequency of Monitoring-Land Application</w:t>
      </w:r>
    </w:p>
    <w:tbl>
      <w:tblPr>
        <w:tblStyle w:val="TableGrid"/>
        <w:tblW w:w="0" w:type="auto"/>
        <w:tblLook w:val="04A0" w:firstRow="1" w:lastRow="0" w:firstColumn="1" w:lastColumn="0" w:noHBand="0" w:noVBand="1"/>
      </w:tblPr>
      <w:tblGrid>
        <w:gridCol w:w="4788"/>
        <w:gridCol w:w="4788"/>
      </w:tblGrid>
      <w:tr w:rsidR="0091415C" w:rsidRPr="0084472B" w:rsidTr="0091415C">
        <w:tc>
          <w:tcPr>
            <w:tcW w:w="4788" w:type="dxa"/>
          </w:tcPr>
          <w:p w:rsidR="0091415C" w:rsidRPr="0084472B" w:rsidRDefault="0091415C" w:rsidP="0091415C">
            <w:pPr>
              <w:jc w:val="center"/>
              <w:rPr>
                <w:sz w:val="22"/>
                <w:szCs w:val="22"/>
              </w:rPr>
            </w:pPr>
            <w:r w:rsidRPr="0084472B">
              <w:rPr>
                <w:sz w:val="22"/>
                <w:szCs w:val="22"/>
              </w:rPr>
              <w:t xml:space="preserve">Amount of Biosolids </w:t>
            </w:r>
            <w:r w:rsidRPr="0084472B">
              <w:rPr>
                <w:sz w:val="22"/>
                <w:szCs w:val="22"/>
                <w:vertAlign w:val="superscript"/>
              </w:rPr>
              <w:t>1</w:t>
            </w:r>
          </w:p>
          <w:p w:rsidR="0091415C" w:rsidRPr="0084472B" w:rsidRDefault="0091415C" w:rsidP="0091415C">
            <w:pPr>
              <w:jc w:val="center"/>
              <w:rPr>
                <w:sz w:val="22"/>
                <w:szCs w:val="22"/>
              </w:rPr>
            </w:pPr>
            <w:r w:rsidRPr="0084472B">
              <w:rPr>
                <w:sz w:val="22"/>
                <w:szCs w:val="22"/>
              </w:rPr>
              <w:t>(metric tons per calendar year)</w:t>
            </w:r>
          </w:p>
        </w:tc>
        <w:tc>
          <w:tcPr>
            <w:tcW w:w="4788" w:type="dxa"/>
          </w:tcPr>
          <w:p w:rsidR="0091415C" w:rsidRPr="0084472B" w:rsidRDefault="0091415C" w:rsidP="0091415C">
            <w:pPr>
              <w:jc w:val="center"/>
              <w:rPr>
                <w:sz w:val="22"/>
                <w:szCs w:val="22"/>
              </w:rPr>
            </w:pPr>
            <w:r w:rsidRPr="0084472B">
              <w:rPr>
                <w:sz w:val="22"/>
                <w:szCs w:val="22"/>
              </w:rPr>
              <w:t>Frequency</w:t>
            </w:r>
          </w:p>
        </w:tc>
      </w:tr>
      <w:tr w:rsidR="0091415C" w:rsidRPr="0084472B" w:rsidTr="0091415C">
        <w:tc>
          <w:tcPr>
            <w:tcW w:w="4788" w:type="dxa"/>
          </w:tcPr>
          <w:p w:rsidR="0091415C" w:rsidRPr="0084472B" w:rsidRDefault="0091415C" w:rsidP="0091415C">
            <w:pPr>
              <w:jc w:val="center"/>
              <w:rPr>
                <w:sz w:val="22"/>
                <w:szCs w:val="22"/>
              </w:rPr>
            </w:pPr>
            <w:r w:rsidRPr="0084472B">
              <w:rPr>
                <w:sz w:val="22"/>
                <w:szCs w:val="22"/>
              </w:rPr>
              <w:t>Greater than 0 but less than 290</w:t>
            </w:r>
          </w:p>
        </w:tc>
        <w:tc>
          <w:tcPr>
            <w:tcW w:w="4788" w:type="dxa"/>
          </w:tcPr>
          <w:p w:rsidR="0091415C" w:rsidRPr="0084472B" w:rsidRDefault="0091415C" w:rsidP="0091415C">
            <w:pPr>
              <w:jc w:val="center"/>
              <w:rPr>
                <w:sz w:val="22"/>
                <w:szCs w:val="22"/>
              </w:rPr>
            </w:pPr>
            <w:r w:rsidRPr="0084472B">
              <w:rPr>
                <w:sz w:val="22"/>
                <w:szCs w:val="22"/>
              </w:rPr>
              <w:t>Once per year</w:t>
            </w:r>
          </w:p>
        </w:tc>
      </w:tr>
      <w:tr w:rsidR="0091415C" w:rsidRPr="0084472B" w:rsidTr="0091415C">
        <w:tc>
          <w:tcPr>
            <w:tcW w:w="4788" w:type="dxa"/>
          </w:tcPr>
          <w:p w:rsidR="0091415C" w:rsidRPr="0084472B" w:rsidRDefault="0091415C" w:rsidP="0091415C">
            <w:pPr>
              <w:jc w:val="center"/>
              <w:rPr>
                <w:sz w:val="22"/>
                <w:szCs w:val="22"/>
              </w:rPr>
            </w:pPr>
            <w:r w:rsidRPr="0084472B">
              <w:rPr>
                <w:sz w:val="22"/>
                <w:szCs w:val="22"/>
              </w:rPr>
              <w:t>Equal to or greater than 290 but less than 1,500</w:t>
            </w:r>
          </w:p>
        </w:tc>
        <w:tc>
          <w:tcPr>
            <w:tcW w:w="4788" w:type="dxa"/>
          </w:tcPr>
          <w:p w:rsidR="0091415C" w:rsidRPr="0084472B" w:rsidRDefault="00E6251B" w:rsidP="0091415C">
            <w:pPr>
              <w:jc w:val="center"/>
              <w:rPr>
                <w:sz w:val="22"/>
                <w:szCs w:val="22"/>
              </w:rPr>
            </w:pPr>
            <w:r w:rsidRPr="0084472B">
              <w:rPr>
                <w:sz w:val="22"/>
                <w:szCs w:val="22"/>
              </w:rPr>
              <w:t>Once per quarter ( 4 times per year)</w:t>
            </w:r>
          </w:p>
        </w:tc>
      </w:tr>
      <w:tr w:rsidR="0091415C" w:rsidRPr="0084472B" w:rsidTr="0091415C">
        <w:tc>
          <w:tcPr>
            <w:tcW w:w="4788" w:type="dxa"/>
          </w:tcPr>
          <w:p w:rsidR="0091415C" w:rsidRPr="0084472B" w:rsidRDefault="0091415C" w:rsidP="0091415C">
            <w:pPr>
              <w:jc w:val="center"/>
              <w:rPr>
                <w:sz w:val="22"/>
                <w:szCs w:val="22"/>
              </w:rPr>
            </w:pPr>
            <w:r w:rsidRPr="0084472B">
              <w:rPr>
                <w:sz w:val="22"/>
                <w:szCs w:val="22"/>
              </w:rPr>
              <w:t>Equal to or greater than 1,500 but less than 15,000</w:t>
            </w:r>
          </w:p>
        </w:tc>
        <w:tc>
          <w:tcPr>
            <w:tcW w:w="4788" w:type="dxa"/>
          </w:tcPr>
          <w:p w:rsidR="0091415C" w:rsidRPr="0084472B" w:rsidRDefault="00E6251B" w:rsidP="0091415C">
            <w:pPr>
              <w:jc w:val="center"/>
              <w:rPr>
                <w:sz w:val="22"/>
                <w:szCs w:val="22"/>
              </w:rPr>
            </w:pPr>
            <w:r w:rsidRPr="0084472B">
              <w:rPr>
                <w:sz w:val="22"/>
                <w:szCs w:val="22"/>
              </w:rPr>
              <w:t>Once per 60 days (6 times per year)</w:t>
            </w:r>
          </w:p>
        </w:tc>
      </w:tr>
      <w:tr w:rsidR="0091415C" w:rsidRPr="0084472B" w:rsidTr="0091415C">
        <w:tc>
          <w:tcPr>
            <w:tcW w:w="4788" w:type="dxa"/>
          </w:tcPr>
          <w:p w:rsidR="0091415C" w:rsidRPr="0084472B" w:rsidRDefault="00E6251B" w:rsidP="0091415C">
            <w:pPr>
              <w:jc w:val="center"/>
              <w:rPr>
                <w:sz w:val="22"/>
                <w:szCs w:val="22"/>
              </w:rPr>
            </w:pPr>
            <w:r w:rsidRPr="0084472B">
              <w:rPr>
                <w:sz w:val="22"/>
                <w:szCs w:val="22"/>
              </w:rPr>
              <w:t>Equal to or greater than 15,000</w:t>
            </w:r>
          </w:p>
        </w:tc>
        <w:tc>
          <w:tcPr>
            <w:tcW w:w="4788" w:type="dxa"/>
          </w:tcPr>
          <w:p w:rsidR="0091415C" w:rsidRPr="0084472B" w:rsidRDefault="00E6251B" w:rsidP="0091415C">
            <w:pPr>
              <w:jc w:val="center"/>
              <w:rPr>
                <w:sz w:val="22"/>
                <w:szCs w:val="22"/>
              </w:rPr>
            </w:pPr>
            <w:r w:rsidRPr="0084472B">
              <w:rPr>
                <w:sz w:val="22"/>
                <w:szCs w:val="22"/>
              </w:rPr>
              <w:t>Once per month ( 12 times per year)</w:t>
            </w:r>
          </w:p>
        </w:tc>
      </w:tr>
    </w:tbl>
    <w:p w:rsidR="0091415C" w:rsidRPr="0084472B" w:rsidRDefault="00E6251B" w:rsidP="0091415C">
      <w:pPr>
        <w:rPr>
          <w:sz w:val="22"/>
          <w:szCs w:val="22"/>
        </w:rPr>
      </w:pPr>
      <w:r w:rsidRPr="0084472B">
        <w:rPr>
          <w:sz w:val="22"/>
          <w:szCs w:val="22"/>
          <w:vertAlign w:val="superscript"/>
        </w:rPr>
        <w:t>1</w:t>
      </w:r>
      <w:r w:rsidRPr="0084472B">
        <w:rPr>
          <w:sz w:val="22"/>
          <w:szCs w:val="22"/>
        </w:rPr>
        <w:t xml:space="preserve"> Either the amount of bulk biosolids applied to the land or the amount of biosolids prepared for sale or give-away in a bag or other container for application to the land (dry weight basis).</w:t>
      </w:r>
    </w:p>
    <w:p w:rsidR="00E6251B" w:rsidRPr="0084472B" w:rsidRDefault="00E6251B" w:rsidP="0091415C">
      <w:pPr>
        <w:rPr>
          <w:sz w:val="22"/>
          <w:szCs w:val="22"/>
        </w:rPr>
      </w:pPr>
    </w:p>
    <w:p w:rsidR="00E6251B" w:rsidRPr="0084472B" w:rsidRDefault="00E6251B" w:rsidP="0091415C">
      <w:pPr>
        <w:rPr>
          <w:sz w:val="22"/>
          <w:szCs w:val="22"/>
        </w:rPr>
      </w:pPr>
      <w:r w:rsidRPr="0084472B">
        <w:rPr>
          <w:sz w:val="22"/>
          <w:szCs w:val="22"/>
        </w:rPr>
        <w:t xml:space="preserve">Note:  290 dry metric tons would be </w:t>
      </w:r>
      <w:r w:rsidR="00991DC2" w:rsidRPr="0084472B">
        <w:rPr>
          <w:sz w:val="22"/>
          <w:szCs w:val="22"/>
        </w:rPr>
        <w:t>7.67 MG of sludge at 1% total solids.</w:t>
      </w:r>
    </w:p>
    <w:p w:rsidR="008E6A33" w:rsidRPr="0084472B" w:rsidRDefault="008E6A33" w:rsidP="0091415C">
      <w:pPr>
        <w:rPr>
          <w:sz w:val="22"/>
          <w:szCs w:val="22"/>
        </w:rPr>
      </w:pPr>
    </w:p>
    <w:p w:rsidR="008E6A33" w:rsidRPr="0084472B" w:rsidRDefault="008E6A33" w:rsidP="0091415C">
      <w:pPr>
        <w:rPr>
          <w:sz w:val="22"/>
          <w:szCs w:val="22"/>
        </w:rPr>
      </w:pPr>
      <w:r w:rsidRPr="0084472B">
        <w:rPr>
          <w:sz w:val="22"/>
          <w:szCs w:val="22"/>
        </w:rPr>
        <w:t xml:space="preserve">Containers:  Preferred containers are Teflon, glass or stainless steel, plastic, steel or aluminum may be used, but galvanized coatings are to be avoided because they can release zinc into the sample. Containers are thoroughly cleaned using standard lab glassware cleaning processes. </w:t>
      </w:r>
    </w:p>
    <w:p w:rsidR="00494652" w:rsidRPr="0084472B" w:rsidRDefault="00494652">
      <w:pPr>
        <w:rPr>
          <w:sz w:val="22"/>
          <w:szCs w:val="22"/>
        </w:rPr>
      </w:pPr>
    </w:p>
    <w:p w:rsidR="00494652" w:rsidRPr="0084472B" w:rsidRDefault="00494652">
      <w:pPr>
        <w:rPr>
          <w:sz w:val="22"/>
          <w:szCs w:val="22"/>
        </w:rPr>
      </w:pPr>
      <w:r w:rsidRPr="0084472B">
        <w:rPr>
          <w:sz w:val="22"/>
          <w:szCs w:val="22"/>
        </w:rPr>
        <w:t xml:space="preserve"> Nine Metals and Four </w:t>
      </w:r>
      <w:proofErr w:type="spellStart"/>
      <w:r w:rsidRPr="0084472B">
        <w:rPr>
          <w:sz w:val="22"/>
          <w:szCs w:val="22"/>
        </w:rPr>
        <w:t>Nitrogens</w:t>
      </w:r>
      <w:proofErr w:type="spellEnd"/>
    </w:p>
    <w:p w:rsidR="00494652" w:rsidRPr="0084472B" w:rsidRDefault="00494652">
      <w:pPr>
        <w:rPr>
          <w:sz w:val="22"/>
          <w:szCs w:val="22"/>
        </w:rPr>
      </w:pPr>
    </w:p>
    <w:p w:rsidR="00825B1F" w:rsidRPr="0084472B" w:rsidRDefault="00494652">
      <w:pPr>
        <w:rPr>
          <w:sz w:val="22"/>
          <w:szCs w:val="22"/>
        </w:rPr>
      </w:pPr>
      <w:r w:rsidRPr="0084472B">
        <w:rPr>
          <w:sz w:val="22"/>
          <w:szCs w:val="22"/>
        </w:rPr>
        <w:tab/>
        <w:t>Early in the Monitoring Period</w:t>
      </w:r>
      <w:r w:rsidR="001C712A" w:rsidRPr="0084472B">
        <w:rPr>
          <w:sz w:val="22"/>
          <w:szCs w:val="22"/>
        </w:rPr>
        <w:t xml:space="preserve"> or prior to a hauling event</w:t>
      </w:r>
      <w:r w:rsidRPr="0084472B">
        <w:rPr>
          <w:sz w:val="22"/>
          <w:szCs w:val="22"/>
        </w:rPr>
        <w:t>, a sample will be colle</w:t>
      </w:r>
      <w:r w:rsidR="008E6A33" w:rsidRPr="0084472B">
        <w:rPr>
          <w:sz w:val="22"/>
          <w:szCs w:val="22"/>
        </w:rPr>
        <w:t xml:space="preserve">cted from the digester with aeration operating </w:t>
      </w:r>
      <w:r w:rsidR="00825B1F" w:rsidRPr="0084472B">
        <w:rPr>
          <w:sz w:val="22"/>
          <w:szCs w:val="22"/>
        </w:rPr>
        <w:t xml:space="preserve">fully in order to have a well-mixed digester.  A clean dipper is used to collect multiple aliquots that are composited in the laboratory provided container.  Aliquots are collected over at least 15 minutes while the digester is mixing. </w:t>
      </w:r>
    </w:p>
    <w:p w:rsidR="00825B1F" w:rsidRPr="0084472B" w:rsidRDefault="00825B1F">
      <w:pPr>
        <w:rPr>
          <w:sz w:val="22"/>
          <w:szCs w:val="22"/>
        </w:rPr>
      </w:pPr>
    </w:p>
    <w:p w:rsidR="00825B1F" w:rsidRPr="0084472B" w:rsidRDefault="00825B1F">
      <w:pPr>
        <w:rPr>
          <w:sz w:val="22"/>
          <w:szCs w:val="22"/>
        </w:rPr>
      </w:pPr>
      <w:r w:rsidRPr="0084472B">
        <w:rPr>
          <w:sz w:val="22"/>
          <w:szCs w:val="22"/>
        </w:rPr>
        <w:t>Fecal Coliform Testing</w:t>
      </w:r>
    </w:p>
    <w:p w:rsidR="00825B1F" w:rsidRPr="0084472B" w:rsidRDefault="00825B1F">
      <w:pPr>
        <w:rPr>
          <w:sz w:val="22"/>
          <w:szCs w:val="22"/>
        </w:rPr>
      </w:pPr>
    </w:p>
    <w:p w:rsidR="00825B1F" w:rsidRPr="0084472B" w:rsidRDefault="00825B1F">
      <w:pPr>
        <w:rPr>
          <w:sz w:val="22"/>
          <w:szCs w:val="22"/>
        </w:rPr>
      </w:pPr>
      <w:r w:rsidRPr="0084472B">
        <w:rPr>
          <w:sz w:val="22"/>
          <w:szCs w:val="22"/>
        </w:rPr>
        <w:tab/>
        <w:t xml:space="preserve">Early in the Monitoring Period </w:t>
      </w:r>
      <w:r w:rsidR="001C712A" w:rsidRPr="0084472B">
        <w:rPr>
          <w:sz w:val="22"/>
          <w:szCs w:val="22"/>
        </w:rPr>
        <w:t xml:space="preserve">or prior to a hauling event, </w:t>
      </w:r>
      <w:r w:rsidRPr="0084472B">
        <w:rPr>
          <w:sz w:val="22"/>
          <w:szCs w:val="22"/>
        </w:rPr>
        <w:t xml:space="preserve">seven samples are collected over a two week period of time. Each sample is collected in the laboratory provided container using sterile technique. </w:t>
      </w:r>
    </w:p>
    <w:p w:rsidR="00825B1F" w:rsidRPr="0084472B" w:rsidRDefault="00825B1F">
      <w:pPr>
        <w:rPr>
          <w:sz w:val="22"/>
          <w:szCs w:val="22"/>
        </w:rPr>
      </w:pPr>
    </w:p>
    <w:p w:rsidR="00825B1F" w:rsidRPr="0084472B" w:rsidRDefault="00825B1F">
      <w:pPr>
        <w:rPr>
          <w:sz w:val="22"/>
          <w:szCs w:val="22"/>
        </w:rPr>
      </w:pPr>
      <w:r w:rsidRPr="0084472B">
        <w:rPr>
          <w:sz w:val="22"/>
          <w:szCs w:val="22"/>
        </w:rPr>
        <w:t>Fecal Coliform Testing, Follow-up</w:t>
      </w:r>
    </w:p>
    <w:p w:rsidR="001C712A" w:rsidRPr="0084472B" w:rsidRDefault="001C712A">
      <w:pPr>
        <w:rPr>
          <w:sz w:val="22"/>
          <w:szCs w:val="22"/>
        </w:rPr>
      </w:pPr>
    </w:p>
    <w:p w:rsidR="001C712A" w:rsidRPr="0084472B" w:rsidRDefault="001C712A">
      <w:pPr>
        <w:rPr>
          <w:sz w:val="22"/>
          <w:szCs w:val="22"/>
        </w:rPr>
      </w:pPr>
      <w:r w:rsidRPr="0084472B">
        <w:rPr>
          <w:sz w:val="22"/>
          <w:szCs w:val="22"/>
        </w:rPr>
        <w:tab/>
        <w:t>Subsequent hauling events will include a single Fecal Coliform sample prior to hauling.</w:t>
      </w:r>
    </w:p>
    <w:p w:rsidR="001C712A" w:rsidRPr="0084472B" w:rsidRDefault="001C712A">
      <w:pPr>
        <w:rPr>
          <w:sz w:val="22"/>
          <w:szCs w:val="22"/>
        </w:rPr>
      </w:pPr>
    </w:p>
    <w:p w:rsidR="001C712A" w:rsidRPr="0084472B" w:rsidRDefault="001C712A">
      <w:pPr>
        <w:rPr>
          <w:sz w:val="22"/>
          <w:szCs w:val="22"/>
        </w:rPr>
      </w:pPr>
      <w:r w:rsidRPr="0084472B">
        <w:rPr>
          <w:sz w:val="22"/>
          <w:szCs w:val="22"/>
        </w:rPr>
        <w:t>Specific Oxygen Uptake Rate (SOUR) Testing</w:t>
      </w:r>
    </w:p>
    <w:p w:rsidR="001C712A" w:rsidRPr="0084472B" w:rsidRDefault="001C712A">
      <w:pPr>
        <w:rPr>
          <w:sz w:val="22"/>
          <w:szCs w:val="22"/>
        </w:rPr>
      </w:pPr>
    </w:p>
    <w:p w:rsidR="001C712A" w:rsidRPr="0084472B" w:rsidRDefault="001C712A">
      <w:pPr>
        <w:rPr>
          <w:sz w:val="22"/>
          <w:szCs w:val="22"/>
        </w:rPr>
      </w:pPr>
      <w:r w:rsidRPr="0084472B">
        <w:rPr>
          <w:sz w:val="22"/>
          <w:szCs w:val="22"/>
        </w:rPr>
        <w:tab/>
        <w:t xml:space="preserve">Prior to a hauling event duplicate SOUR tests will be conducted on the fully stabilized sludge.   From a thoroughly mixing digester a sample </w:t>
      </w:r>
      <w:r w:rsidR="006E036C" w:rsidRPr="0084472B">
        <w:rPr>
          <w:sz w:val="22"/>
          <w:szCs w:val="22"/>
        </w:rPr>
        <w:t xml:space="preserve">of about 1 L </w:t>
      </w:r>
      <w:r w:rsidRPr="0084472B">
        <w:rPr>
          <w:sz w:val="22"/>
          <w:szCs w:val="22"/>
        </w:rPr>
        <w:t>is collected in a clean</w:t>
      </w:r>
      <w:r w:rsidR="006E036C" w:rsidRPr="0084472B">
        <w:rPr>
          <w:sz w:val="22"/>
          <w:szCs w:val="22"/>
        </w:rPr>
        <w:t xml:space="preserve"> container and analyzed immediately. The duplicate test will be analyzed using a fresh sample. </w:t>
      </w:r>
    </w:p>
    <w:p w:rsidR="00825B1F" w:rsidRDefault="00825B1F"/>
    <w:p w:rsidR="00991DC2" w:rsidRDefault="00825B1F">
      <w:r>
        <w:tab/>
        <w:t xml:space="preserve">  </w:t>
      </w:r>
      <w:r w:rsidR="008E6A33">
        <w:t xml:space="preserve"> </w:t>
      </w:r>
      <w:bookmarkStart w:id="0" w:name="_GoBack"/>
      <w:bookmarkEnd w:id="0"/>
    </w:p>
    <w:sectPr w:rsidR="00991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52"/>
    <w:rsid w:val="001C712A"/>
    <w:rsid w:val="00336DE6"/>
    <w:rsid w:val="00494652"/>
    <w:rsid w:val="006E036C"/>
    <w:rsid w:val="00825B1F"/>
    <w:rsid w:val="0084472B"/>
    <w:rsid w:val="00877A56"/>
    <w:rsid w:val="008E6A33"/>
    <w:rsid w:val="0091415C"/>
    <w:rsid w:val="00991DC2"/>
    <w:rsid w:val="009A6F8F"/>
    <w:rsid w:val="00E6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1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15C"/>
    <w:rPr>
      <w:rFonts w:ascii="Tahoma" w:hAnsi="Tahoma" w:cs="Tahoma"/>
      <w:sz w:val="16"/>
      <w:szCs w:val="16"/>
    </w:rPr>
  </w:style>
  <w:style w:type="table" w:styleId="TableGrid">
    <w:name w:val="Table Grid"/>
    <w:basedOn w:val="TableNormal"/>
    <w:uiPriority w:val="59"/>
    <w:rsid w:val="009141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1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15C"/>
    <w:rPr>
      <w:rFonts w:ascii="Tahoma" w:hAnsi="Tahoma" w:cs="Tahoma"/>
      <w:sz w:val="16"/>
      <w:szCs w:val="16"/>
    </w:rPr>
  </w:style>
  <w:style w:type="table" w:styleId="TableGrid">
    <w:name w:val="Table Grid"/>
    <w:basedOn w:val="TableNormal"/>
    <w:uiPriority w:val="59"/>
    <w:rsid w:val="009141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7E5DF933</Template>
  <TotalTime>56</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N. Ward</dc:creator>
  <cp:lastModifiedBy>Brett N. Ward</cp:lastModifiedBy>
  <cp:revision>2</cp:revision>
  <cp:lastPrinted>2014-03-10T19:06:00Z</cp:lastPrinted>
  <dcterms:created xsi:type="dcterms:W3CDTF">2014-03-06T19:33:00Z</dcterms:created>
  <dcterms:modified xsi:type="dcterms:W3CDTF">2014-03-10T19:06:00Z</dcterms:modified>
</cp:coreProperties>
</file>